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rPr>
          <w:rFonts w:ascii="黑体" w:hAnsi="黑体" w:eastAsia="黑体"/>
        </w:rPr>
      </w:pPr>
      <w:bookmarkStart w:id="0" w:name="PO_GWZW"/>
      <w:bookmarkStart w:id="4" w:name="_GoBack"/>
      <w:bookmarkEnd w:id="4"/>
      <w:r>
        <w:rPr>
          <w:rFonts w:hint="eastAsia" w:ascii="黑体" w:hAnsi="黑体" w:eastAsia="黑体"/>
        </w:rPr>
        <w:t>附件</w:t>
      </w:r>
    </w:p>
    <w:p>
      <w:pPr>
        <w:snapToGrid w:val="0"/>
        <w:spacing w:before="0" w:beforeLines="0" w:after="0" w:afterLines="0"/>
        <w:contextualSpacing/>
        <w:jc w:val="center"/>
        <w:rPr>
          <w:rFonts w:ascii="仿宋_GB2312" w:cs="黑体" w:hAnsiTheme="majorEastAsia"/>
          <w:snapToGrid w:val="0"/>
          <w:kern w:val="0"/>
        </w:rPr>
      </w:pPr>
      <w:bookmarkStart w:id="1" w:name="_Hlk77152130"/>
    </w:p>
    <w:p>
      <w:pPr>
        <w:snapToGrid w:val="0"/>
        <w:contextualSpacing/>
        <w:jc w:val="center"/>
        <w:rPr>
          <w:rFonts w:ascii="方正小标宋简体" w:eastAsia="方正小标宋简体" w:cs="黑体" w:hAnsiTheme="majorEastAsia"/>
          <w:snapToGrid w:val="0"/>
          <w:kern w:val="0"/>
          <w:sz w:val="44"/>
          <w:szCs w:val="44"/>
        </w:rPr>
      </w:pPr>
      <w:bookmarkStart w:id="2" w:name="_Hlk77154218"/>
      <w:r>
        <w:rPr>
          <w:rFonts w:hint="eastAsia" w:ascii="方正小标宋简体" w:eastAsia="方正小标宋简体" w:cs="黑体" w:hAnsiTheme="majorEastAsia"/>
          <w:snapToGrid w:val="0"/>
          <w:kern w:val="0"/>
          <w:sz w:val="44"/>
          <w:szCs w:val="44"/>
        </w:rPr>
        <w:t>都香高速公路守望至红山段</w:t>
      </w:r>
      <w:bookmarkEnd w:id="1"/>
      <w:bookmarkEnd w:id="2"/>
      <w:r>
        <w:rPr>
          <w:rFonts w:hint="eastAsia" w:ascii="方正小标宋简体" w:eastAsia="方正小标宋简体" w:cs="黑体" w:hAnsiTheme="majorEastAsia"/>
          <w:snapToGrid w:val="0"/>
          <w:kern w:val="0"/>
          <w:sz w:val="44"/>
          <w:szCs w:val="44"/>
        </w:rPr>
        <w:t>202</w:t>
      </w:r>
      <w:r>
        <w:rPr>
          <w:rFonts w:ascii="方正小标宋简体" w:eastAsia="方正小标宋简体" w:cs="黑体" w:hAnsiTheme="majorEastAsia"/>
          <w:snapToGrid w:val="0"/>
          <w:kern w:val="0"/>
          <w:sz w:val="44"/>
          <w:szCs w:val="44"/>
        </w:rPr>
        <w:t>2</w:t>
      </w:r>
      <w:r>
        <w:rPr>
          <w:rFonts w:hint="eastAsia" w:ascii="方正小标宋简体" w:eastAsia="方正小标宋简体" w:cs="黑体" w:hAnsiTheme="majorEastAsia"/>
          <w:snapToGrid w:val="0"/>
          <w:kern w:val="0"/>
          <w:sz w:val="44"/>
          <w:szCs w:val="44"/>
        </w:rPr>
        <w:t>年</w:t>
      </w:r>
    </w:p>
    <w:p>
      <w:pPr>
        <w:snapToGrid w:val="0"/>
        <w:contextualSpacing/>
        <w:jc w:val="center"/>
        <w:rPr>
          <w:rFonts w:ascii="方正小标宋简体" w:eastAsia="方正小标宋简体" w:cs="黑体" w:hAnsiTheme="majorEastAsia"/>
          <w:snapToGrid w:val="0"/>
          <w:kern w:val="0"/>
          <w:sz w:val="44"/>
          <w:szCs w:val="44"/>
        </w:rPr>
      </w:pPr>
      <w:r>
        <w:rPr>
          <w:rFonts w:hint="eastAsia" w:ascii="方正小标宋简体" w:eastAsia="方正小标宋简体" w:cs="黑体" w:hAnsiTheme="majorEastAsia"/>
          <w:snapToGrid w:val="0"/>
          <w:kern w:val="0"/>
          <w:sz w:val="44"/>
          <w:szCs w:val="44"/>
        </w:rPr>
        <w:t>质量综合督查报告</w:t>
      </w:r>
    </w:p>
    <w:p>
      <w:pPr>
        <w:snapToGrid w:val="0"/>
        <w:spacing w:before="0" w:beforeLines="0" w:after="0" w:afterLines="0"/>
        <w:contextualSpacing/>
        <w:jc w:val="center"/>
        <w:rPr>
          <w:rFonts w:ascii="仿宋_GB2312" w:cs="黑体" w:hAnsiTheme="majorEastAsia"/>
          <w:snapToGrid w:val="0"/>
          <w:kern w:val="0"/>
        </w:rPr>
      </w:pPr>
    </w:p>
    <w:p>
      <w:pPr>
        <w:ind w:firstLine="654" w:firstLineChars="200"/>
        <w:contextualSpacing/>
        <w:rPr>
          <w:rFonts w:ascii="仿宋_GB2312" w:hAnsi="仿宋" w:cs="仿宋_GB2312"/>
        </w:rPr>
      </w:pPr>
      <w:r>
        <w:rPr>
          <w:rFonts w:hint="eastAsia" w:ascii="仿宋_GB2312" w:hAnsi="仿宋" w:cs="仿宋_GB2312"/>
        </w:rPr>
        <w:t>根据我局年度质量监督检查工作计划，</w:t>
      </w:r>
      <w:r>
        <w:rPr>
          <w:rFonts w:ascii="仿宋_GB2312" w:hAnsi="仿宋" w:cs="仿宋_GB2312"/>
        </w:rPr>
        <w:t>5</w:t>
      </w:r>
      <w:r>
        <w:rPr>
          <w:rFonts w:hint="eastAsia" w:ascii="仿宋_GB2312" w:hAnsi="仿宋" w:cs="仿宋_GB2312"/>
        </w:rPr>
        <w:t>月</w:t>
      </w:r>
      <w:r>
        <w:rPr>
          <w:rFonts w:ascii="仿宋_GB2312" w:hAnsi="仿宋" w:cs="仿宋_GB2312"/>
        </w:rPr>
        <w:t>18</w:t>
      </w:r>
      <w:r>
        <w:rPr>
          <w:rFonts w:hint="eastAsia" w:ascii="仿宋_GB2312" w:hAnsi="仿宋" w:cs="仿宋_GB2312"/>
        </w:rPr>
        <w:t>日至</w:t>
      </w:r>
      <w:r>
        <w:rPr>
          <w:rFonts w:ascii="仿宋_GB2312" w:hAnsi="仿宋" w:cs="仿宋_GB2312"/>
        </w:rPr>
        <w:t>23</w:t>
      </w:r>
      <w:r>
        <w:rPr>
          <w:rFonts w:hint="eastAsia" w:ascii="仿宋_GB2312" w:hAnsi="仿宋" w:cs="仿宋_GB2312"/>
        </w:rPr>
        <w:t>日，我局组织对都香高速公路守望至红山段进行了年度质量综合督查，形成报告如下：</w:t>
      </w:r>
    </w:p>
    <w:p>
      <w:pPr>
        <w:ind w:firstLine="654" w:firstLineChars="200"/>
        <w:contextualSpacing/>
        <w:rPr>
          <w:rFonts w:ascii="黑体" w:hAnsi="黑体" w:eastAsia="黑体"/>
        </w:rPr>
      </w:pPr>
      <w:r>
        <w:rPr>
          <w:rFonts w:hint="eastAsia" w:ascii="黑体" w:hAnsi="黑体" w:eastAsia="黑体"/>
        </w:rPr>
        <w:t>一、项目基本情况</w:t>
      </w:r>
    </w:p>
    <w:p>
      <w:pPr>
        <w:overflowPunct w:val="0"/>
        <w:ind w:firstLine="654" w:firstLineChars="200"/>
        <w:contextualSpacing/>
        <w:rPr>
          <w:rFonts w:ascii="仿宋_GB2312" w:hAnsi="仿宋"/>
        </w:rPr>
      </w:pPr>
      <w:r>
        <w:rPr>
          <w:rFonts w:hint="eastAsia" w:ascii="仿宋_GB2312" w:hAnsi="仿宋"/>
        </w:rPr>
        <w:t>都香高速公路守望至红山段起于云南省昭通市昭阳区守望乡，接都香高速贵州境内段，止于四川省金阳县春江乡，接都香高速四川境内段，路线全长96.999公里。项目按双向四车道高速公路标准建设，设计速度80公里/小时，路基宽度25.5米。项目采用EPC模式建设，批复概算为186.92亿元，建设工期48个月。项目参建单位详见附件1。</w:t>
      </w:r>
    </w:p>
    <w:p>
      <w:pPr>
        <w:overflowPunct w:val="0"/>
        <w:ind w:firstLine="654" w:firstLineChars="200"/>
        <w:contextualSpacing/>
        <w:rPr>
          <w:rFonts w:ascii="仿宋_GB2312" w:hAnsi="仿宋"/>
        </w:rPr>
      </w:pPr>
      <w:r>
        <w:rPr>
          <w:rFonts w:hint="eastAsia" w:ascii="仿宋_GB2312" w:hAnsi="仿宋"/>
        </w:rPr>
        <w:t>2</w:t>
      </w:r>
      <w:r>
        <w:rPr>
          <w:rFonts w:ascii="仿宋_GB2312" w:hAnsi="仿宋"/>
        </w:rPr>
        <w:t>021</w:t>
      </w:r>
      <w:r>
        <w:rPr>
          <w:rFonts w:hint="eastAsia" w:ascii="仿宋_GB2312" w:hAnsi="仿宋"/>
        </w:rPr>
        <w:t>年</w:t>
      </w:r>
      <w:r>
        <w:rPr>
          <w:rFonts w:ascii="仿宋_GB2312" w:hAnsi="仿宋"/>
        </w:rPr>
        <w:t>2</w:t>
      </w:r>
      <w:r>
        <w:rPr>
          <w:rFonts w:hint="eastAsia" w:ascii="仿宋_GB2312" w:hAnsi="仿宋"/>
        </w:rPr>
        <w:t>月，项目K0+000至K40+143.04段（主线长</w:t>
      </w:r>
      <w:r>
        <w:rPr>
          <w:rFonts w:ascii="仿宋_GB2312" w:hAnsi="仿宋"/>
        </w:rPr>
        <w:t>40.14</w:t>
      </w:r>
      <w:r>
        <w:rPr>
          <w:rFonts w:hint="eastAsia" w:ascii="仿宋_GB2312" w:hAnsi="仿宋"/>
        </w:rPr>
        <w:t>公里）建成通车，其余段落目前正在建设中。</w:t>
      </w:r>
    </w:p>
    <w:p>
      <w:pPr>
        <w:tabs>
          <w:tab w:val="left" w:pos="6792"/>
        </w:tabs>
        <w:overflowPunct w:val="0"/>
        <w:ind w:firstLine="654" w:firstLineChars="200"/>
        <w:contextualSpacing/>
        <w:rPr>
          <w:rFonts w:ascii="黑体" w:hAnsi="黑体" w:eastAsia="黑体"/>
        </w:rPr>
      </w:pPr>
      <w:r>
        <w:rPr>
          <w:rFonts w:hint="eastAsia" w:ascii="黑体" w:hAnsi="黑体" w:eastAsia="黑体"/>
        </w:rPr>
        <w:t>二、督查组织情况</w:t>
      </w:r>
      <w:r>
        <w:rPr>
          <w:rFonts w:ascii="黑体" w:hAnsi="黑体" w:eastAsia="黑体"/>
        </w:rPr>
        <w:tab/>
      </w:r>
    </w:p>
    <w:p>
      <w:pPr>
        <w:ind w:firstLine="654" w:firstLineChars="200"/>
        <w:contextualSpacing/>
        <w:rPr>
          <w:rFonts w:hint="eastAsia" w:ascii="楷体_GB2312" w:hAnsi="楷体_GB2312" w:eastAsia="楷体_GB2312" w:cs="楷体_GB2312"/>
          <w:b/>
          <w:bCs/>
        </w:rPr>
      </w:pPr>
      <w:r>
        <w:rPr>
          <w:rFonts w:hint="eastAsia" w:ascii="楷体_GB2312" w:hAnsi="楷体_GB2312" w:eastAsia="楷体_GB2312" w:cs="楷体_GB2312"/>
          <w:b/>
          <w:bCs/>
        </w:rPr>
        <w:t>（一）督查工作的组织</w:t>
      </w:r>
    </w:p>
    <w:p>
      <w:pPr>
        <w:overflowPunct w:val="0"/>
        <w:ind w:firstLine="654" w:firstLineChars="200"/>
        <w:contextualSpacing/>
        <w:rPr>
          <w:rFonts w:ascii="仿宋_GB2312" w:hAnsi="仿宋"/>
        </w:rPr>
      </w:pPr>
      <w:r>
        <w:rPr>
          <w:rFonts w:hint="eastAsia" w:ascii="仿宋_GB2312" w:hAnsi="仿宋"/>
        </w:rPr>
        <w:t>本次质量综合督查由我局组织和统筹，具体负责质量管理行为、施工工艺及质量安全专项活动落实情况的检查。通过政府采购招标确定的第三方检测机构（</w:t>
      </w:r>
      <w:r>
        <w:rPr>
          <w:rFonts w:ascii="仿宋_GB2312" w:hAnsi="仿宋"/>
        </w:rPr>
        <w:t>贵州宏信创达工程检测咨询有限公司</w:t>
      </w:r>
      <w:r>
        <w:rPr>
          <w:rFonts w:hint="eastAsia" w:ascii="仿宋_GB2312" w:hAnsi="仿宋"/>
        </w:rPr>
        <w:t>）承担工程实体质量检测工作。督查组于</w:t>
      </w:r>
      <w:r>
        <w:rPr>
          <w:rFonts w:ascii="仿宋_GB2312" w:hAnsi="仿宋"/>
        </w:rPr>
        <w:t>5</w:t>
      </w:r>
      <w:r>
        <w:rPr>
          <w:rFonts w:hint="eastAsia" w:ascii="仿宋_GB2312" w:hAnsi="仿宋"/>
        </w:rPr>
        <w:t>月</w:t>
      </w:r>
      <w:r>
        <w:rPr>
          <w:rFonts w:ascii="仿宋_GB2312" w:hAnsi="仿宋"/>
        </w:rPr>
        <w:t>18</w:t>
      </w:r>
      <w:r>
        <w:rPr>
          <w:rFonts w:hint="eastAsia" w:ascii="仿宋_GB2312" w:hAnsi="仿宋"/>
        </w:rPr>
        <w:t>日在鲁甸县召开督查工作预备会，</w:t>
      </w:r>
      <w:r>
        <w:rPr>
          <w:rFonts w:ascii="仿宋_GB2312" w:hAnsi="仿宋"/>
        </w:rPr>
        <w:t>5</w:t>
      </w:r>
      <w:r>
        <w:rPr>
          <w:rFonts w:hint="eastAsia" w:ascii="仿宋_GB2312" w:hAnsi="仿宋"/>
        </w:rPr>
        <w:t>月</w:t>
      </w:r>
      <w:r>
        <w:rPr>
          <w:rFonts w:ascii="仿宋_GB2312" w:hAnsi="仿宋"/>
        </w:rPr>
        <w:t>19</w:t>
      </w:r>
      <w:r>
        <w:rPr>
          <w:rFonts w:hint="eastAsia" w:ascii="仿宋_GB2312" w:hAnsi="仿宋"/>
        </w:rPr>
        <w:t>日至</w:t>
      </w:r>
      <w:r>
        <w:rPr>
          <w:rFonts w:ascii="仿宋_GB2312" w:hAnsi="仿宋"/>
        </w:rPr>
        <w:t>22</w:t>
      </w:r>
      <w:r>
        <w:rPr>
          <w:rFonts w:hint="eastAsia" w:ascii="仿宋_GB2312" w:hAnsi="仿宋"/>
        </w:rPr>
        <w:t>日开展现场督查工作，</w:t>
      </w:r>
      <w:r>
        <w:rPr>
          <w:rFonts w:ascii="仿宋_GB2312" w:hAnsi="仿宋"/>
        </w:rPr>
        <w:t>5</w:t>
      </w:r>
      <w:r>
        <w:rPr>
          <w:rFonts w:hint="eastAsia" w:ascii="仿宋_GB2312" w:hAnsi="仿宋"/>
        </w:rPr>
        <w:t>月</w:t>
      </w:r>
      <w:r>
        <w:rPr>
          <w:rFonts w:ascii="仿宋_GB2312" w:hAnsi="仿宋"/>
        </w:rPr>
        <w:t>23</w:t>
      </w:r>
      <w:r>
        <w:rPr>
          <w:rFonts w:hint="eastAsia" w:ascii="仿宋_GB2312" w:hAnsi="仿宋"/>
        </w:rPr>
        <w:t>日于鲁甸县召开督查情况反馈会。</w:t>
      </w:r>
    </w:p>
    <w:p>
      <w:pPr>
        <w:ind w:firstLine="654" w:firstLineChars="200"/>
        <w:contextualSpacing/>
        <w:rPr>
          <w:rFonts w:hint="eastAsia" w:ascii="楷体_GB2312" w:hAnsi="楷体_GB2312" w:eastAsia="楷体_GB2312" w:cs="楷体_GB2312"/>
          <w:b/>
          <w:bCs/>
        </w:rPr>
      </w:pPr>
      <w:r>
        <w:rPr>
          <w:rFonts w:hint="eastAsia" w:ascii="楷体_GB2312" w:hAnsi="楷体_GB2312" w:eastAsia="楷体_GB2312" w:cs="楷体_GB2312"/>
          <w:b/>
          <w:bCs/>
        </w:rPr>
        <w:t>（二）督查内容及对象</w:t>
      </w:r>
    </w:p>
    <w:p>
      <w:pPr>
        <w:ind w:firstLine="654" w:firstLineChars="200"/>
        <w:contextualSpacing/>
        <w:rPr>
          <w:rFonts w:ascii="仿宋_GB2312" w:hAnsi="仿宋"/>
          <w:color w:val="FF0000"/>
        </w:rPr>
      </w:pPr>
      <w:bookmarkStart w:id="3" w:name="OLE_LINK17"/>
      <w:r>
        <w:rPr>
          <w:rFonts w:hint="eastAsia" w:ascii="仿宋_GB2312" w:hAnsi="仿宋"/>
        </w:rPr>
        <w:t>根据《云南省高速公路建设项目质量监督检查办法》，结合项目实际情况，本次主要督查内容为参建单位的质量管理行为、工程实体质量、现场施工工艺及各类质量安全专项行动落实情况等。</w:t>
      </w:r>
    </w:p>
    <w:p>
      <w:pPr>
        <w:ind w:firstLine="654" w:firstLineChars="200"/>
        <w:contextualSpacing/>
        <w:rPr>
          <w:rFonts w:ascii="仿宋_GB2312" w:hAnsi="仿宋"/>
        </w:rPr>
      </w:pPr>
      <w:r>
        <w:rPr>
          <w:rFonts w:hint="eastAsia" w:ascii="仿宋_GB2312" w:hAnsi="仿宋"/>
        </w:rPr>
        <w:t>本次督查质量管理行为共抽查参建单位</w:t>
      </w:r>
      <w:r>
        <w:rPr>
          <w:rFonts w:ascii="仿宋_GB2312" w:hAnsi="仿宋"/>
        </w:rPr>
        <w:t>10</w:t>
      </w:r>
      <w:r>
        <w:rPr>
          <w:rFonts w:hint="eastAsia" w:ascii="仿宋_GB2312" w:hAnsi="仿宋"/>
        </w:rPr>
        <w:t>家（建设单位1家、施工单位3家、监理单位3家、试验检测单位3家）。工程实体及施工工艺共抽查施工单位</w:t>
      </w:r>
      <w:r>
        <w:rPr>
          <w:rFonts w:ascii="仿宋_GB2312" w:hAnsi="仿宋"/>
        </w:rPr>
        <w:t>7</w:t>
      </w:r>
      <w:r>
        <w:rPr>
          <w:rFonts w:hint="eastAsia" w:ascii="仿宋_GB2312" w:hAnsi="仿宋"/>
        </w:rPr>
        <w:t>家，抽查路基工程</w:t>
      </w:r>
      <w:r>
        <w:rPr>
          <w:rFonts w:ascii="仿宋_GB2312" w:hAnsi="仿宋"/>
        </w:rPr>
        <w:t>16</w:t>
      </w:r>
      <w:r>
        <w:rPr>
          <w:rFonts w:hint="eastAsia" w:ascii="仿宋_GB2312" w:hAnsi="仿宋"/>
        </w:rPr>
        <w:t>处、桥梁</w:t>
      </w:r>
      <w:r>
        <w:rPr>
          <w:rFonts w:ascii="仿宋_GB2312" w:hAnsi="仿宋"/>
        </w:rPr>
        <w:t>20</w:t>
      </w:r>
      <w:r>
        <w:rPr>
          <w:rFonts w:hint="eastAsia" w:ascii="仿宋_GB2312" w:hAnsi="仿宋"/>
        </w:rPr>
        <w:t>座、隧道</w:t>
      </w:r>
      <w:r>
        <w:rPr>
          <w:rFonts w:ascii="仿宋_GB2312" w:hAnsi="仿宋"/>
        </w:rPr>
        <w:t>3</w:t>
      </w:r>
      <w:r>
        <w:rPr>
          <w:rFonts w:hint="eastAsia" w:ascii="仿宋_GB2312" w:hAnsi="仿宋"/>
        </w:rPr>
        <w:t>座、钢筋加工厂</w:t>
      </w:r>
      <w:r>
        <w:rPr>
          <w:rFonts w:ascii="仿宋_GB2312" w:hAnsi="仿宋"/>
        </w:rPr>
        <w:t>2</w:t>
      </w:r>
      <w:r>
        <w:rPr>
          <w:rFonts w:hint="eastAsia" w:ascii="仿宋_GB2312" w:hAnsi="仿宋"/>
        </w:rPr>
        <w:t>个、桥梁预制厂</w:t>
      </w:r>
      <w:r>
        <w:rPr>
          <w:rFonts w:ascii="仿宋_GB2312" w:hAnsi="仿宋"/>
        </w:rPr>
        <w:t>2</w:t>
      </w:r>
      <w:r>
        <w:rPr>
          <w:rFonts w:hint="eastAsia" w:ascii="仿宋_GB2312" w:hAnsi="仿宋"/>
        </w:rPr>
        <w:t>个、钢梁拼装厂</w:t>
      </w:r>
      <w:r>
        <w:rPr>
          <w:rFonts w:ascii="仿宋_GB2312" w:hAnsi="仿宋"/>
        </w:rPr>
        <w:t>1</w:t>
      </w:r>
      <w:r>
        <w:rPr>
          <w:rFonts w:hint="eastAsia" w:ascii="仿宋_GB2312" w:hAnsi="仿宋"/>
        </w:rPr>
        <w:t>个、混凝土拌合厂</w:t>
      </w:r>
      <w:r>
        <w:rPr>
          <w:rFonts w:ascii="仿宋_GB2312" w:hAnsi="仿宋"/>
        </w:rPr>
        <w:t>1</w:t>
      </w:r>
      <w:r>
        <w:rPr>
          <w:rFonts w:hint="eastAsia" w:ascii="仿宋_GB2312" w:hAnsi="仿宋"/>
        </w:rPr>
        <w:t>个。</w:t>
      </w:r>
    </w:p>
    <w:bookmarkEnd w:id="3"/>
    <w:p>
      <w:pPr>
        <w:overflowPunct w:val="0"/>
        <w:ind w:firstLine="654" w:firstLineChars="200"/>
        <w:contextualSpacing/>
        <w:rPr>
          <w:rFonts w:ascii="黑体" w:hAnsi="黑体" w:eastAsia="黑体"/>
        </w:rPr>
      </w:pPr>
      <w:r>
        <w:rPr>
          <w:rFonts w:hint="eastAsia" w:ascii="黑体" w:hAnsi="黑体" w:eastAsia="黑体"/>
        </w:rPr>
        <w:t>三、督查情况</w:t>
      </w:r>
    </w:p>
    <w:p>
      <w:pPr>
        <w:ind w:firstLine="654" w:firstLineChars="200"/>
        <w:contextualSpacing/>
        <w:rPr>
          <w:rFonts w:hint="eastAsia" w:ascii="楷体_GB2312" w:hAnsi="楷体_GB2312" w:eastAsia="楷体_GB2312" w:cs="楷体_GB2312"/>
          <w:b/>
          <w:bCs/>
        </w:rPr>
      </w:pPr>
      <w:r>
        <w:rPr>
          <w:rFonts w:hint="eastAsia" w:ascii="楷体_GB2312" w:hAnsi="楷体_GB2312" w:eastAsia="楷体_GB2312" w:cs="楷体_GB2312"/>
          <w:b/>
          <w:bCs/>
        </w:rPr>
        <w:t>（一）总体评价</w:t>
      </w:r>
    </w:p>
    <w:p>
      <w:pPr>
        <w:pStyle w:val="5"/>
        <w:spacing w:after="0"/>
        <w:ind w:left="163" w:leftChars="50" w:firstLine="640" w:firstLineChars="196"/>
        <w:rPr>
          <w:rFonts w:ascii="仿宋_GB2312"/>
          <w:color w:val="FF0000"/>
        </w:rPr>
      </w:pPr>
      <w:r>
        <w:rPr>
          <w:rFonts w:hint="eastAsia" w:ascii="仿宋_GB2312"/>
        </w:rPr>
        <w:t>都香高速公路守望至红山段总体上较为重视项目质量安全管理工作。</w:t>
      </w:r>
      <w:r>
        <w:rPr>
          <w:rFonts w:hint="eastAsia" w:ascii="仿宋_GB2312"/>
          <w:b/>
          <w:bCs/>
        </w:rPr>
        <w:t>一是</w:t>
      </w:r>
      <w:r>
        <w:rPr>
          <w:rFonts w:hint="eastAsia" w:ascii="仿宋_GB2312"/>
        </w:rPr>
        <w:t>参建单位质量安全管理机构健全、质量安全保证体系基本完善、质量管理制度执行基本到位；</w:t>
      </w:r>
      <w:r>
        <w:rPr>
          <w:rFonts w:hint="eastAsia" w:ascii="仿宋_GB2312"/>
          <w:b/>
          <w:bCs/>
        </w:rPr>
        <w:t>二是</w:t>
      </w:r>
      <w:r>
        <w:rPr>
          <w:rFonts w:hint="eastAsia" w:ascii="仿宋_GB2312"/>
        </w:rPr>
        <w:t>参建单位在认真总结前期工程建设经验的基础上，制定了多项针对性专项管理办法，进一步健全了质量管理体系；</w:t>
      </w:r>
      <w:r>
        <w:rPr>
          <w:rFonts w:hint="eastAsia" w:ascii="仿宋_GB2312"/>
          <w:b/>
          <w:bCs/>
        </w:rPr>
        <w:t>三是</w:t>
      </w:r>
      <w:r>
        <w:rPr>
          <w:rFonts w:hint="eastAsia" w:ascii="仿宋_GB2312"/>
        </w:rPr>
        <w:t>项目建设单位针对金沙江特大桥钢结构工程管控难度较大的情况，组织相关参建单位全面梳理了主要施工工序的检测工作重点，明确了参建各方在施工过程中的检测指标及检测频率。但项目质量安全管控水平相比前期有所下降，本次督查共发现各类存在问题</w:t>
      </w:r>
      <w:r>
        <w:rPr>
          <w:rFonts w:ascii="仿宋_GB2312"/>
        </w:rPr>
        <w:t>118</w:t>
      </w:r>
      <w:r>
        <w:rPr>
          <w:rFonts w:hint="eastAsia" w:ascii="仿宋_GB2312"/>
        </w:rPr>
        <w:t>条，其中质量管理行为方面存在问题</w:t>
      </w:r>
      <w:r>
        <w:rPr>
          <w:rFonts w:ascii="仿宋_GB2312"/>
        </w:rPr>
        <w:t>52</w:t>
      </w:r>
      <w:r>
        <w:rPr>
          <w:rFonts w:hint="eastAsia" w:ascii="仿宋_GB2312"/>
        </w:rPr>
        <w:t>条，工程实体及施工工艺方面存在问题</w:t>
      </w:r>
      <w:r>
        <w:rPr>
          <w:rFonts w:ascii="仿宋_GB2312"/>
        </w:rPr>
        <w:t>66</w:t>
      </w:r>
      <w:r>
        <w:rPr>
          <w:rFonts w:hint="eastAsia" w:ascii="仿宋_GB2312"/>
        </w:rPr>
        <w:t>条。</w:t>
      </w:r>
    </w:p>
    <w:p>
      <w:pPr>
        <w:ind w:firstLine="654" w:firstLineChars="200"/>
        <w:contextualSpacing/>
        <w:rPr>
          <w:rFonts w:hint="eastAsia" w:ascii="楷体_GB2312" w:hAnsi="楷体_GB2312" w:eastAsia="楷体_GB2312" w:cs="楷体_GB2312"/>
          <w:b/>
          <w:bCs/>
        </w:rPr>
      </w:pPr>
      <w:r>
        <w:rPr>
          <w:rFonts w:hint="eastAsia" w:ascii="楷体_GB2312" w:hAnsi="楷体_GB2312" w:eastAsia="楷体_GB2312" w:cs="楷体_GB2312"/>
          <w:b/>
          <w:bCs/>
        </w:rPr>
        <w:t>（二）实体检测情况</w:t>
      </w:r>
    </w:p>
    <w:p>
      <w:pPr>
        <w:pStyle w:val="30"/>
        <w:adjustRightInd/>
        <w:snapToGrid/>
        <w:spacing w:beforeLines="0" w:after="0" w:afterAutospacing="0" w:line="240" w:lineRule="auto"/>
        <w:ind w:firstLine="655"/>
        <w:contextualSpacing/>
        <w:jc w:val="both"/>
        <w:rPr>
          <w:rFonts w:ascii="仿宋_GB2312" w:hAnsi="仿宋" w:eastAsia="仿宋_GB2312"/>
          <w:sz w:val="32"/>
          <w:szCs w:val="32"/>
        </w:rPr>
      </w:pPr>
      <w:r>
        <w:rPr>
          <w:rFonts w:hint="eastAsia" w:ascii="仿宋_GB2312" w:hAnsi="仿宋" w:eastAsia="仿宋_GB2312"/>
          <w:sz w:val="32"/>
          <w:szCs w:val="32"/>
        </w:rPr>
        <w:t>本次督查共抽检实体数据</w:t>
      </w:r>
      <w:r>
        <w:rPr>
          <w:rFonts w:ascii="仿宋_GB2312" w:hAnsi="仿宋" w:eastAsia="仿宋_GB2312"/>
          <w:sz w:val="32"/>
          <w:szCs w:val="32"/>
        </w:rPr>
        <w:t>7014</w:t>
      </w:r>
      <w:r>
        <w:rPr>
          <w:rFonts w:hint="eastAsia" w:ascii="仿宋_GB2312" w:hAnsi="仿宋" w:eastAsia="仿宋_GB2312"/>
          <w:sz w:val="32"/>
          <w:szCs w:val="32"/>
        </w:rPr>
        <w:t>点/组，合格</w:t>
      </w:r>
      <w:r>
        <w:rPr>
          <w:rFonts w:ascii="仿宋_GB2312" w:hAnsi="仿宋" w:eastAsia="仿宋_GB2312"/>
          <w:sz w:val="32"/>
          <w:szCs w:val="32"/>
        </w:rPr>
        <w:t>6424</w:t>
      </w:r>
      <w:r>
        <w:rPr>
          <w:rFonts w:hint="eastAsia" w:ascii="仿宋_GB2312" w:hAnsi="仿宋" w:eastAsia="仿宋_GB2312"/>
          <w:sz w:val="32"/>
          <w:szCs w:val="32"/>
        </w:rPr>
        <w:t>点/组，抽检的1</w:t>
      </w:r>
      <w:r>
        <w:rPr>
          <w:rFonts w:ascii="仿宋_GB2312" w:hAnsi="仿宋" w:eastAsia="仿宋_GB2312"/>
          <w:sz w:val="32"/>
          <w:szCs w:val="32"/>
        </w:rPr>
        <w:t>2</w:t>
      </w:r>
      <w:r>
        <w:rPr>
          <w:rFonts w:hint="eastAsia" w:ascii="仿宋_GB2312" w:hAnsi="仿宋" w:eastAsia="仿宋_GB2312"/>
          <w:sz w:val="32"/>
          <w:szCs w:val="32"/>
        </w:rPr>
        <w:t>组原材料均合格，路基、桥梁及隧道工程实体抽检加权合格率分别为</w:t>
      </w:r>
      <w:r>
        <w:rPr>
          <w:rFonts w:ascii="仿宋_GB2312" w:hAnsi="仿宋" w:eastAsia="仿宋_GB2312"/>
          <w:sz w:val="32"/>
          <w:szCs w:val="32"/>
        </w:rPr>
        <w:t>97.12</w:t>
      </w:r>
      <w:r>
        <w:rPr>
          <w:rFonts w:hint="eastAsia" w:ascii="仿宋_GB2312" w:hAnsi="仿宋" w:eastAsia="仿宋_GB2312"/>
          <w:sz w:val="32"/>
          <w:szCs w:val="32"/>
        </w:rPr>
        <w:t>%、</w:t>
      </w:r>
      <w:r>
        <w:rPr>
          <w:rFonts w:ascii="仿宋_GB2312" w:hAnsi="仿宋" w:eastAsia="仿宋_GB2312"/>
          <w:sz w:val="32"/>
          <w:szCs w:val="32"/>
        </w:rPr>
        <w:t>96.19</w:t>
      </w:r>
      <w:r>
        <w:rPr>
          <w:rFonts w:hint="eastAsia" w:ascii="仿宋_GB2312" w:hAnsi="仿宋" w:eastAsia="仿宋_GB2312"/>
          <w:sz w:val="32"/>
          <w:szCs w:val="32"/>
        </w:rPr>
        <w:t>%、</w:t>
      </w:r>
      <w:r>
        <w:rPr>
          <w:rFonts w:ascii="仿宋_GB2312" w:hAnsi="仿宋" w:eastAsia="仿宋_GB2312"/>
          <w:sz w:val="32"/>
          <w:szCs w:val="32"/>
        </w:rPr>
        <w:t>93.53</w:t>
      </w:r>
      <w:r>
        <w:rPr>
          <w:rFonts w:hint="eastAsia" w:ascii="仿宋_GB2312" w:hAnsi="仿宋" w:eastAsia="仿宋_GB2312"/>
          <w:sz w:val="32"/>
          <w:szCs w:val="32"/>
        </w:rPr>
        <w:t>%。各施工合同段实体抽检加权合格率统计如表</w:t>
      </w:r>
      <w:r>
        <w:rPr>
          <w:rFonts w:ascii="仿宋_GB2312" w:hAnsi="仿宋" w:eastAsia="仿宋_GB2312"/>
          <w:sz w:val="32"/>
          <w:szCs w:val="32"/>
        </w:rPr>
        <w:t>1</w:t>
      </w:r>
      <w:r>
        <w:rPr>
          <w:rFonts w:hint="eastAsia" w:ascii="仿宋_GB2312" w:hAnsi="仿宋" w:eastAsia="仿宋_GB2312"/>
          <w:sz w:val="32"/>
          <w:szCs w:val="32"/>
        </w:rPr>
        <w:t>所示，具体抽检情况详见附件2。</w:t>
      </w:r>
    </w:p>
    <w:p>
      <w:pPr>
        <w:jc w:val="center"/>
        <w:rPr>
          <w:rFonts w:ascii="仿宋_GB2312" w:hAnsi="仿宋" w:cs="宋体"/>
          <w:kern w:val="0"/>
        </w:rPr>
      </w:pPr>
      <w:r>
        <w:rPr>
          <w:rFonts w:hint="eastAsia" w:ascii="仿宋_GB2312" w:hAnsi="仿宋" w:cs="宋体"/>
          <w:kern w:val="0"/>
        </w:rPr>
        <w:t>表</w:t>
      </w:r>
      <w:r>
        <w:rPr>
          <w:rFonts w:ascii="仿宋_GB2312" w:hAnsi="仿宋" w:cs="宋体"/>
          <w:kern w:val="0"/>
        </w:rPr>
        <w:t>1</w:t>
      </w:r>
      <w:r>
        <w:rPr>
          <w:rFonts w:hint="eastAsia" w:ascii="仿宋_GB2312" w:hAnsi="仿宋" w:cs="宋体"/>
          <w:kern w:val="0"/>
        </w:rPr>
        <w:t>工程实体抽检加权合格率统计表</w:t>
      </w:r>
    </w:p>
    <w:tbl>
      <w:tblPr>
        <w:tblStyle w:val="19"/>
        <w:tblW w:w="86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2166"/>
        <w:gridCol w:w="1682"/>
        <w:gridCol w:w="1878"/>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序号</w:t>
            </w:r>
          </w:p>
        </w:tc>
        <w:tc>
          <w:tcPr>
            <w:tcW w:w="2166"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合同段</w:t>
            </w:r>
          </w:p>
        </w:tc>
        <w:tc>
          <w:tcPr>
            <w:tcW w:w="1682"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路基工程</w:t>
            </w:r>
          </w:p>
        </w:tc>
        <w:tc>
          <w:tcPr>
            <w:tcW w:w="187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桥梁工程</w:t>
            </w:r>
          </w:p>
        </w:tc>
        <w:tc>
          <w:tcPr>
            <w:tcW w:w="1871"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隧道工程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1</w:t>
            </w:r>
          </w:p>
        </w:tc>
        <w:tc>
          <w:tcPr>
            <w:tcW w:w="2166"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 xml:space="preserve">A3 </w:t>
            </w:r>
          </w:p>
        </w:tc>
        <w:tc>
          <w:tcPr>
            <w:tcW w:w="1682"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77.34%</w:t>
            </w:r>
          </w:p>
        </w:tc>
        <w:tc>
          <w:tcPr>
            <w:tcW w:w="1878"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88.42%</w:t>
            </w:r>
          </w:p>
        </w:tc>
        <w:tc>
          <w:tcPr>
            <w:tcW w:w="1871"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2</w:t>
            </w:r>
          </w:p>
        </w:tc>
        <w:tc>
          <w:tcPr>
            <w:tcW w:w="2166"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A4</w:t>
            </w:r>
          </w:p>
        </w:tc>
        <w:tc>
          <w:tcPr>
            <w:tcW w:w="1682"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c>
          <w:tcPr>
            <w:tcW w:w="187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7.02</w:t>
            </w:r>
            <w:r>
              <w:rPr>
                <w:rFonts w:hint="eastAsia" w:ascii="仿宋_GB2312" w:hAnsi="仿宋" w:cs="仿宋_GB2312"/>
                <w:sz w:val="21"/>
                <w:szCs w:val="21"/>
              </w:rPr>
              <w:t>%</w:t>
            </w:r>
          </w:p>
        </w:tc>
        <w:tc>
          <w:tcPr>
            <w:tcW w:w="1871"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89.95</w:t>
            </w:r>
            <w:r>
              <w:rPr>
                <w:rFonts w:hint="eastAsia" w:ascii="仿宋_GB2312" w:hAnsi="仿宋"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3</w:t>
            </w:r>
          </w:p>
        </w:tc>
        <w:tc>
          <w:tcPr>
            <w:tcW w:w="2166"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A5</w:t>
            </w:r>
          </w:p>
        </w:tc>
        <w:tc>
          <w:tcPr>
            <w:tcW w:w="1682"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c>
          <w:tcPr>
            <w:tcW w:w="187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c>
          <w:tcPr>
            <w:tcW w:w="1871"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0.71</w:t>
            </w:r>
            <w:r>
              <w:rPr>
                <w:rFonts w:hint="eastAsia" w:ascii="仿宋_GB2312" w:hAnsi="仿宋"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4</w:t>
            </w:r>
          </w:p>
        </w:tc>
        <w:tc>
          <w:tcPr>
            <w:tcW w:w="2166"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A6</w:t>
            </w:r>
          </w:p>
        </w:tc>
        <w:tc>
          <w:tcPr>
            <w:tcW w:w="1682"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c>
          <w:tcPr>
            <w:tcW w:w="187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6.24</w:t>
            </w:r>
            <w:r>
              <w:rPr>
                <w:rFonts w:hint="eastAsia" w:ascii="仿宋_GB2312" w:hAnsi="仿宋" w:cs="仿宋_GB2312"/>
                <w:sz w:val="21"/>
                <w:szCs w:val="21"/>
              </w:rPr>
              <w:t>%</w:t>
            </w:r>
          </w:p>
        </w:tc>
        <w:tc>
          <w:tcPr>
            <w:tcW w:w="1871"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1.78</w:t>
            </w:r>
            <w:r>
              <w:rPr>
                <w:rFonts w:hint="eastAsia" w:ascii="仿宋_GB2312" w:hAnsi="仿宋"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5</w:t>
            </w:r>
          </w:p>
        </w:tc>
        <w:tc>
          <w:tcPr>
            <w:tcW w:w="2166" w:type="dxa"/>
            <w:vAlign w:val="center"/>
          </w:tcPr>
          <w:p>
            <w:pPr>
              <w:adjustRightInd w:val="0"/>
              <w:snapToGrid w:val="0"/>
              <w:jc w:val="center"/>
              <w:rPr>
                <w:rFonts w:ascii="仿宋_GB2312" w:hAnsi="仿宋"/>
                <w:kern w:val="0"/>
                <w:sz w:val="21"/>
                <w:szCs w:val="21"/>
              </w:rPr>
            </w:pPr>
            <w:r>
              <w:rPr>
                <w:rFonts w:hint="eastAsia" w:ascii="仿宋_GB2312" w:hAnsi="仿宋" w:cs="仿宋_GB2312"/>
                <w:sz w:val="21"/>
                <w:szCs w:val="21"/>
              </w:rPr>
              <w:t>A</w:t>
            </w:r>
            <w:r>
              <w:rPr>
                <w:rFonts w:ascii="仿宋_GB2312" w:hAnsi="仿宋" w:cs="仿宋_GB2312"/>
                <w:sz w:val="21"/>
                <w:szCs w:val="21"/>
              </w:rPr>
              <w:t>7</w:t>
            </w:r>
          </w:p>
        </w:tc>
        <w:tc>
          <w:tcPr>
            <w:tcW w:w="1682"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c>
          <w:tcPr>
            <w:tcW w:w="1878"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96.67%</w:t>
            </w:r>
          </w:p>
        </w:tc>
        <w:tc>
          <w:tcPr>
            <w:tcW w:w="1871"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ascii="仿宋_GB2312" w:hAnsi="仿宋" w:cs="仿宋_GB2312"/>
                <w:sz w:val="21"/>
                <w:szCs w:val="21"/>
              </w:rPr>
              <w:t>6</w:t>
            </w:r>
          </w:p>
        </w:tc>
        <w:tc>
          <w:tcPr>
            <w:tcW w:w="2166" w:type="dxa"/>
            <w:vAlign w:val="center"/>
          </w:tcPr>
          <w:p>
            <w:pPr>
              <w:adjustRightInd w:val="0"/>
              <w:snapToGrid w:val="0"/>
              <w:jc w:val="center"/>
              <w:rPr>
                <w:rFonts w:ascii="仿宋_GB2312" w:hAnsi="仿宋" w:cs="仿宋_GB2312"/>
                <w:sz w:val="21"/>
                <w:szCs w:val="21"/>
              </w:rPr>
            </w:pPr>
            <w:r>
              <w:rPr>
                <w:rFonts w:hint="eastAsia" w:ascii="仿宋_GB2312" w:hAnsi="仿宋"/>
                <w:kern w:val="0"/>
                <w:sz w:val="21"/>
                <w:szCs w:val="21"/>
              </w:rPr>
              <w:t>A</w:t>
            </w:r>
            <w:r>
              <w:rPr>
                <w:rFonts w:ascii="仿宋_GB2312" w:hAnsi="仿宋"/>
                <w:kern w:val="0"/>
                <w:sz w:val="21"/>
                <w:szCs w:val="21"/>
              </w:rPr>
              <w:t>8</w:t>
            </w:r>
          </w:p>
        </w:tc>
        <w:tc>
          <w:tcPr>
            <w:tcW w:w="1682"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8.09</w:t>
            </w:r>
            <w:r>
              <w:rPr>
                <w:rFonts w:hint="eastAsia" w:ascii="仿宋_GB2312" w:hAnsi="仿宋" w:cs="仿宋_GB2312"/>
                <w:sz w:val="21"/>
                <w:szCs w:val="21"/>
              </w:rPr>
              <w:t>%</w:t>
            </w:r>
          </w:p>
        </w:tc>
        <w:tc>
          <w:tcPr>
            <w:tcW w:w="187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6.72</w:t>
            </w:r>
            <w:r>
              <w:rPr>
                <w:rFonts w:hint="eastAsia" w:ascii="仿宋_GB2312" w:hAnsi="仿宋" w:cs="仿宋_GB2312"/>
                <w:sz w:val="21"/>
                <w:szCs w:val="21"/>
              </w:rPr>
              <w:t>%</w:t>
            </w:r>
          </w:p>
        </w:tc>
        <w:tc>
          <w:tcPr>
            <w:tcW w:w="1871"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01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7</w:t>
            </w:r>
          </w:p>
        </w:tc>
        <w:tc>
          <w:tcPr>
            <w:tcW w:w="2166" w:type="dxa"/>
            <w:vAlign w:val="center"/>
          </w:tcPr>
          <w:p>
            <w:pPr>
              <w:adjustRightInd w:val="0"/>
              <w:snapToGrid w:val="0"/>
              <w:jc w:val="center"/>
              <w:rPr>
                <w:rFonts w:ascii="仿宋_GB2312" w:hAnsi="仿宋"/>
                <w:kern w:val="0"/>
                <w:sz w:val="21"/>
                <w:szCs w:val="21"/>
              </w:rPr>
            </w:pPr>
            <w:r>
              <w:rPr>
                <w:rFonts w:hint="eastAsia" w:ascii="仿宋_GB2312" w:hAnsi="仿宋"/>
                <w:kern w:val="0"/>
                <w:sz w:val="21"/>
                <w:szCs w:val="21"/>
              </w:rPr>
              <w:t>A</w:t>
            </w:r>
            <w:r>
              <w:rPr>
                <w:rFonts w:ascii="仿宋_GB2312" w:hAnsi="仿宋"/>
                <w:kern w:val="0"/>
                <w:sz w:val="21"/>
                <w:szCs w:val="21"/>
              </w:rPr>
              <w:t>9</w:t>
            </w:r>
          </w:p>
        </w:tc>
        <w:tc>
          <w:tcPr>
            <w:tcW w:w="1682" w:type="dxa"/>
            <w:vAlign w:val="center"/>
          </w:tcPr>
          <w:p>
            <w:pPr>
              <w:adjustRightInd w:val="0"/>
              <w:snapToGrid w:val="0"/>
              <w:jc w:val="center"/>
              <w:rPr>
                <w:rFonts w:ascii="仿宋_GB2312" w:hAnsi="仿宋"/>
                <w:kern w:val="0"/>
                <w:sz w:val="21"/>
                <w:szCs w:val="21"/>
              </w:rPr>
            </w:pPr>
            <w:r>
              <w:rPr>
                <w:rFonts w:hint="eastAsia" w:ascii="仿宋_GB2312" w:hAnsi="仿宋"/>
                <w:kern w:val="0"/>
                <w:sz w:val="21"/>
                <w:szCs w:val="21"/>
              </w:rPr>
              <w:t>/</w:t>
            </w:r>
          </w:p>
        </w:tc>
        <w:tc>
          <w:tcPr>
            <w:tcW w:w="1878"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9</w:t>
            </w:r>
            <w:r>
              <w:rPr>
                <w:rFonts w:ascii="仿宋_GB2312" w:hAnsi="仿宋" w:cs="仿宋_GB2312"/>
                <w:sz w:val="21"/>
                <w:szCs w:val="21"/>
              </w:rPr>
              <w:t>4.08</w:t>
            </w:r>
            <w:r>
              <w:rPr>
                <w:rFonts w:hint="eastAsia" w:ascii="仿宋_GB2312" w:hAnsi="仿宋" w:cs="仿宋_GB2312"/>
                <w:sz w:val="21"/>
                <w:szCs w:val="21"/>
              </w:rPr>
              <w:t>%</w:t>
            </w:r>
          </w:p>
        </w:tc>
        <w:tc>
          <w:tcPr>
            <w:tcW w:w="1871" w:type="dxa"/>
            <w:vAlign w:val="center"/>
          </w:tcPr>
          <w:p>
            <w:pPr>
              <w:adjustRightInd w:val="0"/>
              <w:snapToGrid w:val="0"/>
              <w:jc w:val="center"/>
              <w:rPr>
                <w:rFonts w:ascii="仿宋_GB2312" w:hAnsi="仿宋" w:cs="仿宋_GB2312"/>
                <w:sz w:val="21"/>
                <w:szCs w:val="21"/>
              </w:rPr>
            </w:pPr>
            <w:r>
              <w:rPr>
                <w:rFonts w:hint="eastAsia" w:ascii="仿宋_GB2312" w:hAnsi="仿宋" w:cs="仿宋_GB2312"/>
                <w:sz w:val="21"/>
                <w:szCs w:val="21"/>
              </w:rPr>
              <w:t>/</w:t>
            </w:r>
          </w:p>
        </w:tc>
      </w:tr>
    </w:tbl>
    <w:p>
      <w:pPr>
        <w:overflowPunct w:val="0"/>
        <w:ind w:firstLine="654" w:firstLineChars="200"/>
        <w:contextualSpacing/>
        <w:rPr>
          <w:rFonts w:ascii="黑体" w:hAnsi="黑体" w:eastAsia="黑体"/>
        </w:rPr>
      </w:pPr>
      <w:r>
        <w:rPr>
          <w:rFonts w:hint="eastAsia" w:ascii="黑体" w:hAnsi="黑体" w:eastAsia="黑体"/>
        </w:rPr>
        <w:t>四、主要存在问题</w:t>
      </w:r>
    </w:p>
    <w:p>
      <w:pPr>
        <w:ind w:left="34" w:firstLine="578" w:firstLineChars="177"/>
        <w:rPr>
          <w:rFonts w:ascii="仿宋_GB2312" w:hAnsi="楷体_GB2312" w:cs="楷体_GB2312"/>
          <w:bCs/>
        </w:rPr>
      </w:pPr>
      <w:r>
        <w:rPr>
          <w:rFonts w:hint="eastAsia" w:ascii="仿宋_GB2312" w:hAnsi="楷体_GB2312" w:cs="楷体_GB2312"/>
          <w:bCs/>
        </w:rPr>
        <w:t>（一）本次督查发现项目存在以下3类红线问题。</w:t>
      </w:r>
      <w:r>
        <w:rPr>
          <w:rFonts w:hint="eastAsia" w:ascii="仿宋_GB2312" w:hAnsi="楷体_GB2312" w:cs="楷体_GB2312"/>
          <w:b/>
        </w:rPr>
        <w:t>一是</w:t>
      </w:r>
      <w:r>
        <w:rPr>
          <w:rFonts w:hint="eastAsia" w:ascii="仿宋_GB2312" w:hAnsi="楷体_GB2312" w:cs="楷体_GB2312"/>
          <w:bCs/>
        </w:rPr>
        <w:t>路堑高边坡未有效开展边坡稳定性监测，具体为A8合同段K84+440～K85+570段路堑边坡；</w:t>
      </w:r>
      <w:r>
        <w:rPr>
          <w:rFonts w:hint="eastAsia" w:ascii="仿宋_GB2312" w:hAnsi="楷体_GB2312" w:cs="楷体_GB2312"/>
          <w:b/>
        </w:rPr>
        <w:t>二是</w:t>
      </w:r>
      <w:r>
        <w:rPr>
          <w:rFonts w:hint="eastAsia" w:ascii="仿宋_GB2312" w:hAnsi="楷体_GB2312" w:cs="楷体_GB2312"/>
          <w:bCs/>
        </w:rPr>
        <w:t>隧道未按规范、设计要求开展监控量测，具体为A</w:t>
      </w:r>
      <w:r>
        <w:rPr>
          <w:rFonts w:ascii="仿宋_GB2312" w:hAnsi="楷体_GB2312" w:cs="楷体_GB2312"/>
          <w:bCs/>
        </w:rPr>
        <w:t>5</w:t>
      </w:r>
      <w:r>
        <w:rPr>
          <w:rFonts w:hint="eastAsia" w:ascii="仿宋_GB2312" w:hAnsi="楷体_GB2312" w:cs="楷体_GB2312"/>
          <w:bCs/>
        </w:rPr>
        <w:t>合同段乐红隧道出口左幅，A</w:t>
      </w:r>
      <w:r>
        <w:rPr>
          <w:rFonts w:ascii="仿宋_GB2312" w:hAnsi="楷体_GB2312" w:cs="楷体_GB2312"/>
          <w:bCs/>
        </w:rPr>
        <w:t>6</w:t>
      </w:r>
      <w:r>
        <w:rPr>
          <w:rFonts w:hint="eastAsia" w:ascii="仿宋_GB2312" w:hAnsi="楷体_GB2312" w:cs="楷体_GB2312"/>
          <w:bCs/>
        </w:rPr>
        <w:t>合同段红崖山隧道进口左、右幅；</w:t>
      </w:r>
      <w:r>
        <w:rPr>
          <w:rFonts w:hint="eastAsia" w:ascii="仿宋_GB2312" w:hAnsi="楷体_GB2312" w:cs="楷体_GB2312"/>
          <w:b/>
        </w:rPr>
        <w:t>三是</w:t>
      </w:r>
      <w:r>
        <w:rPr>
          <w:rFonts w:hint="eastAsia" w:ascii="仿宋_GB2312" w:hAnsi="楷体_GB2312" w:cs="楷体_GB2312"/>
          <w:bCs/>
        </w:rPr>
        <w:t>隧道施工安全步距超标，具体为A</w:t>
      </w:r>
      <w:r>
        <w:rPr>
          <w:rFonts w:ascii="仿宋_GB2312" w:hAnsi="楷体_GB2312" w:cs="楷体_GB2312"/>
          <w:bCs/>
        </w:rPr>
        <w:t>4</w:t>
      </w:r>
      <w:r>
        <w:rPr>
          <w:rFonts w:hint="eastAsia" w:ascii="仿宋_GB2312" w:hAnsi="楷体_GB2312" w:cs="楷体_GB2312"/>
          <w:bCs/>
        </w:rPr>
        <w:t>合同段翠屏隧道进口左幅二衬至掌子面距离，A</w:t>
      </w:r>
      <w:r>
        <w:rPr>
          <w:rFonts w:ascii="仿宋_GB2312" w:hAnsi="楷体_GB2312" w:cs="楷体_GB2312"/>
          <w:bCs/>
        </w:rPr>
        <w:t>5</w:t>
      </w:r>
      <w:r>
        <w:rPr>
          <w:rFonts w:hint="eastAsia" w:ascii="仿宋_GB2312" w:hAnsi="楷体_GB2312" w:cs="楷体_GB2312"/>
          <w:bCs/>
        </w:rPr>
        <w:t>合同段乐红隧道出口左幅二衬至掌子面距离，A</w:t>
      </w:r>
      <w:r>
        <w:rPr>
          <w:rFonts w:ascii="仿宋_GB2312" w:hAnsi="楷体_GB2312" w:cs="楷体_GB2312"/>
          <w:bCs/>
        </w:rPr>
        <w:t>6</w:t>
      </w:r>
      <w:r>
        <w:rPr>
          <w:rFonts w:hint="eastAsia" w:ascii="仿宋_GB2312" w:hAnsi="楷体_GB2312" w:cs="楷体_GB2312"/>
          <w:bCs/>
        </w:rPr>
        <w:t>合同段红崖山隧道进口左幅二衬至掌子面距离、进口右幅仰拱和二衬至掌子面距离。</w:t>
      </w:r>
    </w:p>
    <w:p>
      <w:pPr>
        <w:ind w:left="34" w:firstLine="578" w:firstLineChars="177"/>
        <w:rPr>
          <w:rFonts w:ascii="仿宋_GB2312" w:hAnsi="楷体_GB2312" w:cs="楷体_GB2312"/>
          <w:bCs/>
        </w:rPr>
      </w:pPr>
      <w:r>
        <w:rPr>
          <w:rFonts w:hint="eastAsia" w:ascii="仿宋_GB2312" w:hAnsi="楷体_GB2312" w:cs="楷体_GB2312"/>
          <w:bCs/>
        </w:rPr>
        <w:t>（二）金沙江特大桥质量管控工作存在不足。</w:t>
      </w:r>
      <w:r>
        <w:rPr>
          <w:rFonts w:hint="eastAsia" w:ascii="仿宋_GB2312" w:hAnsi="楷体_GB2312" w:cs="楷体_GB2312"/>
          <w:b/>
        </w:rPr>
        <w:t>一是</w:t>
      </w:r>
      <w:r>
        <w:rPr>
          <w:rFonts w:hint="eastAsia" w:ascii="仿宋_GB2312" w:hAnsi="楷体_GB2312" w:cs="楷体_GB2312"/>
          <w:bCs/>
        </w:rPr>
        <w:t>钢箱梁板单元件出厂检验、进场验收不严格，L</w:t>
      </w:r>
      <w:r>
        <w:rPr>
          <w:rFonts w:ascii="仿宋_GB2312" w:hAnsi="楷体_GB2312" w:cs="楷体_GB2312"/>
          <w:bCs/>
        </w:rPr>
        <w:t>-1</w:t>
      </w:r>
      <w:r>
        <w:rPr>
          <w:rFonts w:hint="eastAsia" w:ascii="仿宋_GB2312" w:hAnsi="楷体_GB2312" w:cs="楷体_GB2312"/>
          <w:bCs/>
        </w:rPr>
        <w:t>梁段个别隔板存在现场吹孔和焊接圆柱头焊钉的现象；</w:t>
      </w:r>
      <w:r>
        <w:rPr>
          <w:rFonts w:hint="eastAsia" w:ascii="仿宋_GB2312" w:hAnsi="楷体_GB2312" w:cs="楷体_GB2312"/>
          <w:b/>
        </w:rPr>
        <w:t>二是</w:t>
      </w:r>
      <w:r>
        <w:rPr>
          <w:rFonts w:hint="eastAsia" w:ascii="仿宋_GB2312" w:hAnsi="楷体_GB2312" w:cs="楷体_GB2312"/>
          <w:bCs/>
        </w:rPr>
        <w:t>已架设的L</w:t>
      </w:r>
      <w:r>
        <w:rPr>
          <w:rFonts w:ascii="仿宋_GB2312" w:hAnsi="楷体_GB2312" w:cs="楷体_GB2312"/>
          <w:bCs/>
        </w:rPr>
        <w:t>-1</w:t>
      </w:r>
      <w:r>
        <w:rPr>
          <w:rFonts w:hint="eastAsia" w:ascii="仿宋_GB2312" w:hAnsi="楷体_GB2312" w:cs="楷体_GB2312"/>
          <w:bCs/>
        </w:rPr>
        <w:t>梁段对接焊缝多层焊接时未连续施焊，盖面焊与上层焊缝间隔时间过长，上层焊缝产生的锈迹未有效清除；</w:t>
      </w:r>
      <w:r>
        <w:rPr>
          <w:rFonts w:hint="eastAsia" w:ascii="仿宋_GB2312" w:hAnsi="楷体_GB2312" w:cs="楷体_GB2312"/>
          <w:b/>
        </w:rPr>
        <w:t>三是</w:t>
      </w:r>
      <w:r>
        <w:rPr>
          <w:rFonts w:hint="eastAsia" w:ascii="仿宋_GB2312" w:hAnsi="楷体_GB2312" w:cs="楷体_GB2312"/>
          <w:bCs/>
        </w:rPr>
        <w:t>本次超声探伤抽查发现，钢箱梁焊缝存在不合格现象；</w:t>
      </w:r>
      <w:r>
        <w:rPr>
          <w:rFonts w:hint="eastAsia" w:ascii="仿宋_GB2312" w:hAnsi="楷体_GB2312" w:cs="楷体_GB2312"/>
          <w:b/>
        </w:rPr>
        <w:t>四是</w:t>
      </w:r>
      <w:r>
        <w:rPr>
          <w:rFonts w:hint="eastAsia" w:ascii="仿宋_GB2312" w:hAnsi="楷体_GB2312" w:cs="楷体_GB2312"/>
          <w:bCs/>
        </w:rPr>
        <w:t>部分混凝土箱梁斜拉索导管存在切割痕迹；</w:t>
      </w:r>
      <w:r>
        <w:rPr>
          <w:rFonts w:hint="eastAsia" w:ascii="仿宋_GB2312" w:hAnsi="楷体_GB2312" w:cs="楷体_GB2312"/>
          <w:b/>
        </w:rPr>
        <w:t>五是</w:t>
      </w:r>
      <w:r>
        <w:rPr>
          <w:rFonts w:hint="eastAsia" w:ascii="仿宋_GB2312" w:hAnsi="楷体_GB2312" w:cs="楷体_GB2312"/>
          <w:bCs/>
        </w:rPr>
        <w:t>混凝土箱梁小里程侧（靠近钢混段）腹板纵向钢筋设置与设计要求不一致。</w:t>
      </w:r>
    </w:p>
    <w:p>
      <w:pPr>
        <w:ind w:left="34" w:firstLine="578" w:firstLineChars="177"/>
        <w:rPr>
          <w:rFonts w:ascii="仿宋_GB2312" w:hAnsi="楷体_GB2312" w:cs="楷体_GB2312"/>
          <w:bCs/>
        </w:rPr>
      </w:pPr>
      <w:r>
        <w:rPr>
          <w:rFonts w:hint="eastAsia" w:ascii="仿宋_GB2312" w:hAnsi="楷体_GB2312" w:cs="楷体_GB2312"/>
          <w:bCs/>
        </w:rPr>
        <w:t>（三）项目施工质量管理工作存在不足。</w:t>
      </w:r>
      <w:r>
        <w:rPr>
          <w:rFonts w:hint="eastAsia" w:ascii="仿宋_GB2312" w:hAnsi="楷体_GB2312" w:cs="楷体_GB2312"/>
          <w:b/>
        </w:rPr>
        <w:t>一是</w:t>
      </w:r>
      <w:r>
        <w:rPr>
          <w:rFonts w:hint="eastAsia" w:ascii="仿宋_GB2312" w:hAnsi="楷体_GB2312" w:cs="楷体_GB2312"/>
          <w:bCs/>
        </w:rPr>
        <w:t>本次抽查隧道的初支混凝土施工均未严格采用湿喷工艺；</w:t>
      </w:r>
      <w:r>
        <w:rPr>
          <w:rFonts w:hint="eastAsia" w:ascii="仿宋_GB2312" w:hAnsi="楷体_GB2312" w:cs="楷体_GB2312"/>
          <w:b/>
        </w:rPr>
        <w:t>二是</w:t>
      </w:r>
      <w:r>
        <w:rPr>
          <w:rFonts w:ascii="仿宋_GB2312" w:hAnsi="楷体_GB2312" w:cs="楷体_GB2312"/>
          <w:bCs/>
        </w:rPr>
        <w:t>A6</w:t>
      </w:r>
      <w:r>
        <w:rPr>
          <w:rFonts w:hint="eastAsia" w:ascii="仿宋_GB2312" w:hAnsi="楷体_GB2312" w:cs="楷体_GB2312"/>
          <w:bCs/>
        </w:rPr>
        <w:t>合同段红崖山隧道右幅YK71+867.5～YK71+868.5段二衬厚度小于设计厚度的1</w:t>
      </w:r>
      <w:r>
        <w:rPr>
          <w:rFonts w:ascii="仿宋_GB2312" w:hAnsi="楷体_GB2312" w:cs="楷体_GB2312"/>
          <w:bCs/>
        </w:rPr>
        <w:t>/2</w:t>
      </w:r>
      <w:r>
        <w:rPr>
          <w:rFonts w:hint="eastAsia" w:ascii="仿宋_GB2312" w:hAnsi="楷体_GB2312" w:cs="楷体_GB2312"/>
          <w:bCs/>
        </w:rPr>
        <w:t>（因脱空导致）；</w:t>
      </w:r>
      <w:r>
        <w:rPr>
          <w:rFonts w:hint="eastAsia" w:ascii="仿宋_GB2312" w:hAnsi="楷体_GB2312" w:cs="楷体_GB2312"/>
          <w:b/>
        </w:rPr>
        <w:t>三是</w:t>
      </w:r>
      <w:r>
        <w:rPr>
          <w:rFonts w:hint="eastAsia" w:ascii="仿宋_GB2312" w:hAnsi="楷体_GB2312" w:cs="楷体_GB2312"/>
          <w:bCs/>
        </w:rPr>
        <w:t>部分隧道初支表面平整度较差，并存在钢拱架外露、混凝土掉块等问题；</w:t>
      </w:r>
      <w:r>
        <w:rPr>
          <w:rFonts w:hint="eastAsia" w:ascii="仿宋_GB2312" w:hAnsi="楷体_GB2312" w:cs="楷体_GB2312"/>
          <w:b/>
        </w:rPr>
        <w:t>四是</w:t>
      </w:r>
      <w:r>
        <w:rPr>
          <w:rFonts w:hint="eastAsia" w:ascii="仿宋_GB2312" w:hAnsi="楷体_GB2312" w:cs="楷体_GB2312"/>
          <w:bCs/>
        </w:rPr>
        <w:t>A</w:t>
      </w:r>
      <w:r>
        <w:rPr>
          <w:rFonts w:ascii="仿宋_GB2312" w:hAnsi="楷体_GB2312" w:cs="楷体_GB2312"/>
          <w:bCs/>
        </w:rPr>
        <w:t>4</w:t>
      </w:r>
      <w:r>
        <w:rPr>
          <w:rFonts w:hint="eastAsia" w:ascii="仿宋_GB2312" w:hAnsi="楷体_GB2312" w:cs="楷体_GB2312"/>
          <w:bCs/>
        </w:rPr>
        <w:t>合同段张家坪特大桥桥面铺装（靠近护栏的标高带）未按设计要求设置钢筋网片；</w:t>
      </w:r>
      <w:r>
        <w:rPr>
          <w:rFonts w:hint="eastAsia" w:ascii="仿宋_GB2312" w:hAnsi="楷体_GB2312" w:cs="楷体_GB2312"/>
          <w:b/>
        </w:rPr>
        <w:t>五是</w:t>
      </w:r>
      <w:r>
        <w:rPr>
          <w:rFonts w:hint="eastAsia" w:ascii="仿宋_GB2312" w:hAnsi="楷体_GB2312" w:cs="楷体_GB2312"/>
          <w:bCs/>
        </w:rPr>
        <w:t>部分桥隧混凝土外观质量较差，如A</w:t>
      </w:r>
      <w:r>
        <w:rPr>
          <w:rFonts w:ascii="仿宋_GB2312" w:hAnsi="楷体_GB2312" w:cs="楷体_GB2312"/>
          <w:bCs/>
        </w:rPr>
        <w:t>6</w:t>
      </w:r>
      <w:r>
        <w:rPr>
          <w:rFonts w:hint="eastAsia" w:ascii="仿宋_GB2312" w:hAnsi="楷体_GB2312" w:cs="楷体_GB2312"/>
          <w:bCs/>
        </w:rPr>
        <w:t>合同段红崖山隧道进口右幅YK72+060处二衬、A3合同段龙头山互通4号桥8号墩，部分合同段对桥梁存在的外观类质量缺陷处治较为随意，处治效果不佳，如A</w:t>
      </w:r>
      <w:r>
        <w:rPr>
          <w:rFonts w:ascii="仿宋_GB2312" w:hAnsi="楷体_GB2312" w:cs="楷体_GB2312"/>
          <w:bCs/>
        </w:rPr>
        <w:t>4</w:t>
      </w:r>
      <w:r>
        <w:rPr>
          <w:rFonts w:hint="eastAsia" w:ascii="仿宋_GB2312" w:hAnsi="楷体_GB2312" w:cs="楷体_GB2312"/>
          <w:bCs/>
        </w:rPr>
        <w:t>合同段张家坪特大桥、A</w:t>
      </w:r>
      <w:r>
        <w:rPr>
          <w:rFonts w:ascii="仿宋_GB2312" w:hAnsi="楷体_GB2312" w:cs="楷体_GB2312"/>
          <w:bCs/>
        </w:rPr>
        <w:t>6</w:t>
      </w:r>
      <w:r>
        <w:rPr>
          <w:rFonts w:hint="eastAsia" w:ascii="仿宋_GB2312" w:hAnsi="楷体_GB2312" w:cs="楷体_GB2312"/>
          <w:bCs/>
        </w:rPr>
        <w:t>合同段钱家坪特大桥；</w:t>
      </w:r>
      <w:r>
        <w:rPr>
          <w:rFonts w:hint="eastAsia" w:ascii="仿宋_GB2312" w:hAnsi="楷体_GB2312" w:cs="楷体_GB2312"/>
          <w:b/>
        </w:rPr>
        <w:t>六是</w:t>
      </w:r>
      <w:r>
        <w:rPr>
          <w:rFonts w:hint="eastAsia" w:ascii="仿宋_GB2312" w:hAnsi="楷体_GB2312" w:cs="楷体_GB2312"/>
          <w:bCs/>
        </w:rPr>
        <w:t>A</w:t>
      </w:r>
      <w:r>
        <w:rPr>
          <w:rFonts w:ascii="仿宋_GB2312" w:hAnsi="楷体_GB2312" w:cs="楷体_GB2312"/>
          <w:bCs/>
        </w:rPr>
        <w:t>3</w:t>
      </w:r>
      <w:r>
        <w:rPr>
          <w:rFonts w:hint="eastAsia" w:ascii="仿宋_GB2312" w:hAnsi="楷体_GB2312" w:cs="楷体_GB2312"/>
          <w:bCs/>
        </w:rPr>
        <w:t>合同段</w:t>
      </w:r>
      <w:r>
        <w:rPr>
          <w:rFonts w:ascii="仿宋_GB2312" w:hAnsi="楷体_GB2312" w:cs="楷体_GB2312"/>
          <w:bCs/>
        </w:rPr>
        <w:t>YK40+406</w:t>
      </w:r>
      <w:r>
        <w:rPr>
          <w:rFonts w:hint="eastAsia" w:ascii="仿宋_GB2312" w:hAnsi="楷体_GB2312" w:cs="楷体_GB2312"/>
          <w:bCs/>
        </w:rPr>
        <w:t>～</w:t>
      </w:r>
      <w:r>
        <w:rPr>
          <w:rFonts w:ascii="仿宋_GB2312" w:hAnsi="楷体_GB2312" w:cs="楷体_GB2312"/>
          <w:bCs/>
        </w:rPr>
        <w:t>YK40+490</w:t>
      </w:r>
      <w:r>
        <w:rPr>
          <w:rFonts w:hint="eastAsia" w:ascii="仿宋_GB2312" w:hAnsi="楷体_GB2312" w:cs="楷体_GB2312"/>
          <w:bCs/>
        </w:rPr>
        <w:t>右侧排水沟混凝土回弹强度推定值不满足设计要求；</w:t>
      </w:r>
      <w:r>
        <w:rPr>
          <w:rFonts w:hint="eastAsia" w:ascii="仿宋_GB2312" w:hAnsi="楷体_GB2312" w:cs="楷体_GB2312"/>
          <w:b/>
        </w:rPr>
        <w:t>七是</w:t>
      </w:r>
      <w:r>
        <w:rPr>
          <w:rFonts w:hint="eastAsia" w:ascii="仿宋_GB2312" w:hAnsi="楷体_GB2312" w:cs="楷体_GB2312"/>
          <w:bCs/>
        </w:rPr>
        <w:t>A</w:t>
      </w:r>
      <w:r>
        <w:rPr>
          <w:rFonts w:ascii="仿宋_GB2312" w:hAnsi="楷体_GB2312" w:cs="楷体_GB2312"/>
          <w:bCs/>
        </w:rPr>
        <w:t>3</w:t>
      </w:r>
      <w:r>
        <w:rPr>
          <w:rFonts w:hint="eastAsia" w:ascii="仿宋_GB2312" w:hAnsi="楷体_GB2312" w:cs="楷体_GB2312"/>
          <w:bCs/>
        </w:rPr>
        <w:t>合同段排水设施未有效衔接，导致部分已成型路基受到流水冲刷。</w:t>
      </w:r>
    </w:p>
    <w:p>
      <w:pPr>
        <w:ind w:left="34" w:firstLine="578" w:firstLineChars="177"/>
        <w:rPr>
          <w:rFonts w:ascii="仿宋_GB2312" w:hAnsi="楷体_GB2312" w:cs="楷体_GB2312"/>
          <w:bCs/>
        </w:rPr>
      </w:pPr>
      <w:r>
        <w:rPr>
          <w:rFonts w:hint="eastAsia" w:ascii="仿宋_GB2312" w:hAnsi="楷体_GB2312" w:cs="楷体_GB2312"/>
          <w:bCs/>
        </w:rPr>
        <w:t>（四）项目部分合同段施工标准化水平降低，文明施工形象不佳。</w:t>
      </w:r>
      <w:r>
        <w:rPr>
          <w:rFonts w:hint="eastAsia" w:ascii="仿宋_GB2312" w:hAnsi="楷体_GB2312" w:cs="楷体_GB2312"/>
          <w:b/>
        </w:rPr>
        <w:t>一是</w:t>
      </w:r>
      <w:r>
        <w:rPr>
          <w:rFonts w:hint="eastAsia" w:ascii="仿宋_GB2312" w:hAnsi="楷体_GB2312" w:cs="楷体_GB2312"/>
          <w:bCs/>
        </w:rPr>
        <w:t>A</w:t>
      </w:r>
      <w:r>
        <w:rPr>
          <w:rFonts w:ascii="仿宋_GB2312" w:hAnsi="楷体_GB2312" w:cs="楷体_GB2312"/>
          <w:bCs/>
        </w:rPr>
        <w:t>4</w:t>
      </w:r>
      <w:r>
        <w:rPr>
          <w:rFonts w:hint="eastAsia" w:ascii="仿宋_GB2312" w:hAnsi="楷体_GB2312" w:cs="楷体_GB2312"/>
          <w:bCs/>
        </w:rPr>
        <w:t>合同段张家坪特大桥、A</w:t>
      </w:r>
      <w:r>
        <w:rPr>
          <w:rFonts w:ascii="仿宋_GB2312" w:hAnsi="楷体_GB2312" w:cs="楷体_GB2312"/>
          <w:bCs/>
        </w:rPr>
        <w:t>9</w:t>
      </w:r>
      <w:r>
        <w:rPr>
          <w:rFonts w:hint="eastAsia" w:ascii="仿宋_GB2312" w:hAnsi="楷体_GB2312" w:cs="楷体_GB2312"/>
          <w:bCs/>
        </w:rPr>
        <w:t>合同段金沙江特大桥和牛栏江特大桥在桥面堆积大量材料、器具及设备，整体施工形象较差；</w:t>
      </w:r>
      <w:r>
        <w:rPr>
          <w:rFonts w:hint="eastAsia" w:ascii="仿宋_GB2312" w:hAnsi="楷体_GB2312" w:cs="楷体_GB2312"/>
          <w:b/>
        </w:rPr>
        <w:t>二是</w:t>
      </w:r>
      <w:r>
        <w:rPr>
          <w:rFonts w:hint="eastAsia" w:ascii="仿宋_GB2312" w:hAnsi="楷体_GB2312" w:cs="楷体_GB2312"/>
          <w:bCs/>
        </w:rPr>
        <w:t>A3合同段在营盘大桥桥下随意放置钢筋笼、盖梁钢骨架，A4合同段1#拌合站集料窜料问题突出，A8合同段在牛栏江鹿塘大桥桥下设置简易钢筋加工点。</w:t>
      </w:r>
    </w:p>
    <w:p>
      <w:pPr>
        <w:ind w:left="34" w:firstLine="578" w:firstLineChars="177"/>
        <w:rPr>
          <w:rFonts w:ascii="仿宋_GB2312" w:hAnsi="楷体_GB2312" w:cs="楷体_GB2312"/>
          <w:bCs/>
        </w:rPr>
      </w:pPr>
      <w:r>
        <w:rPr>
          <w:rFonts w:hint="eastAsia" w:ascii="仿宋_GB2312" w:hAnsi="楷体_GB2312" w:cs="楷体_GB2312"/>
          <w:bCs/>
        </w:rPr>
        <w:t>（五）项目施工现场安全管理工作存在不足。</w:t>
      </w:r>
      <w:r>
        <w:rPr>
          <w:rFonts w:hint="eastAsia" w:ascii="仿宋_GB2312" w:hAnsi="楷体_GB2312" w:cs="楷体_GB2312"/>
          <w:b/>
        </w:rPr>
        <w:t>一是</w:t>
      </w:r>
      <w:r>
        <w:rPr>
          <w:rFonts w:hint="eastAsia" w:ascii="仿宋_GB2312" w:hAnsi="楷体_GB2312" w:cs="楷体_GB2312"/>
          <w:bCs/>
        </w:rPr>
        <w:t>本次抽查的隧道均未按要求将逃生管道布设至二衬位置；</w:t>
      </w:r>
      <w:r>
        <w:rPr>
          <w:rFonts w:hint="eastAsia" w:ascii="仿宋_GB2312" w:hAnsi="楷体_GB2312" w:cs="楷体_GB2312"/>
          <w:b/>
        </w:rPr>
        <w:t>二是</w:t>
      </w:r>
      <w:r>
        <w:rPr>
          <w:rFonts w:hint="eastAsia" w:ascii="仿宋_GB2312" w:hAnsi="楷体_GB2312" w:cs="楷体_GB2312"/>
          <w:bCs/>
        </w:rPr>
        <w:t>金沙江特大桥已架设钢箱梁未设置临边防护设施。</w:t>
      </w:r>
    </w:p>
    <w:p>
      <w:pPr>
        <w:ind w:left="34" w:firstLine="578" w:firstLineChars="177"/>
        <w:rPr>
          <w:rFonts w:ascii="仿宋_GB2312" w:hAnsi="楷体_GB2312" w:cs="楷体_GB2312"/>
          <w:bCs/>
        </w:rPr>
      </w:pPr>
      <w:r>
        <w:rPr>
          <w:rFonts w:hint="eastAsia" w:ascii="仿宋_GB2312" w:hAnsi="楷体_GB2312" w:cs="楷体_GB2312"/>
          <w:bCs/>
        </w:rPr>
        <w:t>上述问题具体情况详见附件3。</w:t>
      </w:r>
    </w:p>
    <w:p>
      <w:pPr>
        <w:overflowPunct w:val="0"/>
        <w:ind w:firstLine="654" w:firstLineChars="200"/>
        <w:contextualSpacing/>
        <w:rPr>
          <w:rFonts w:ascii="黑体" w:hAnsi="黑体" w:eastAsia="黑体"/>
        </w:rPr>
      </w:pPr>
      <w:r>
        <w:rPr>
          <w:rFonts w:hint="eastAsia" w:ascii="黑体" w:hAnsi="黑体" w:eastAsia="黑体"/>
        </w:rPr>
        <w:t>五、整改要求</w:t>
      </w:r>
    </w:p>
    <w:p>
      <w:pPr>
        <w:ind w:firstLine="654" w:firstLineChars="200"/>
        <w:rPr>
          <w:rFonts w:ascii="仿宋_GB2312" w:hAnsi="楷体_GB2312" w:cs="楷体_GB2312"/>
          <w:bCs/>
        </w:rPr>
      </w:pPr>
      <w:r>
        <w:rPr>
          <w:rFonts w:hint="eastAsia" w:ascii="仿宋_GB2312" w:hAnsi="楷体_GB2312" w:cs="楷体_GB2312"/>
          <w:bCs/>
        </w:rPr>
        <w:t>（一）项目参建单位应严格按照上级交通运输主管部门的要求，认真组织开展“坚守公路水运工程质量安全红线”专项行动，有效遏制和防范安全生产事故发生。对本次督查发现的红线问题，项目参建单位必须立即组织整改到位，并采取切实有效的措施，防止类似问题再次发生。</w:t>
      </w:r>
    </w:p>
    <w:p>
      <w:pPr>
        <w:ind w:firstLine="654" w:firstLineChars="200"/>
        <w:rPr>
          <w:rFonts w:ascii="仿宋_GB2312" w:hAnsi="楷体_GB2312" w:cs="楷体_GB2312"/>
          <w:bCs/>
        </w:rPr>
      </w:pPr>
      <w:r>
        <w:rPr>
          <w:rFonts w:hint="eastAsia" w:ascii="仿宋_GB2312" w:hAnsi="楷体_GB2312" w:cs="楷体_GB2312"/>
          <w:bCs/>
        </w:rPr>
        <w:t>（二）项目参建单位应高度重视金沙江特大桥质量管控工作。</w:t>
      </w:r>
      <w:r>
        <w:rPr>
          <w:rFonts w:hint="eastAsia" w:ascii="仿宋_GB2312" w:hAnsi="楷体_GB2312" w:cs="楷体_GB2312"/>
          <w:b/>
        </w:rPr>
        <w:t>一是</w:t>
      </w:r>
      <w:r>
        <w:rPr>
          <w:rFonts w:hint="eastAsia" w:ascii="仿宋_GB2312" w:hAnsi="楷体_GB2312" w:cs="楷体_GB2312"/>
          <w:bCs/>
        </w:rPr>
        <w:t>应进一步健全钢箱梁板单元件的出厂检验和进场验收制度，杜绝不合格板单元件进入工地拼装环节；</w:t>
      </w:r>
      <w:r>
        <w:rPr>
          <w:rFonts w:hint="eastAsia" w:ascii="仿宋_GB2312" w:hAnsi="楷体_GB2312" w:cs="楷体_GB2312"/>
          <w:b/>
        </w:rPr>
        <w:t>二是</w:t>
      </w:r>
      <w:r>
        <w:rPr>
          <w:rFonts w:hint="eastAsia" w:ascii="仿宋_GB2312" w:hAnsi="楷体_GB2312" w:cs="楷体_GB2312"/>
          <w:bCs/>
        </w:rPr>
        <w:t>钢箱梁工地焊接应采取有效的防雨、防风措施，箱内焊接应采取必要的通风措施；</w:t>
      </w:r>
      <w:r>
        <w:rPr>
          <w:rFonts w:hint="eastAsia" w:ascii="仿宋_GB2312" w:hAnsi="楷体_GB2312" w:cs="楷体_GB2312"/>
          <w:b/>
        </w:rPr>
        <w:t>三是</w:t>
      </w:r>
      <w:r>
        <w:rPr>
          <w:rFonts w:hint="eastAsia"/>
        </w:rPr>
        <w:t>焊缝多层焊接时宜连续施焊，对本次抽查发现的不合格焊缝，要求进行返修处理；</w:t>
      </w:r>
      <w:r>
        <w:rPr>
          <w:rFonts w:hint="eastAsia"/>
          <w:b/>
          <w:bCs/>
        </w:rPr>
        <w:t>四是</w:t>
      </w:r>
      <w:r>
        <w:rPr>
          <w:rFonts w:hint="eastAsia"/>
        </w:rPr>
        <w:t>应树立钢筋混凝土工程与钢结构工程同等重要的理念，切实强化钢筋混凝土工程的质量管控，确保设计文件执行到位。</w:t>
      </w:r>
    </w:p>
    <w:p>
      <w:pPr>
        <w:ind w:firstLine="654" w:firstLineChars="200"/>
        <w:rPr>
          <w:rFonts w:ascii="仿宋_GB2312" w:hAnsi="楷体_GB2312" w:cs="楷体_GB2312"/>
          <w:bCs/>
        </w:rPr>
      </w:pPr>
      <w:r>
        <w:rPr>
          <w:rFonts w:hint="eastAsia" w:ascii="仿宋_GB2312" w:hAnsi="楷体_GB2312" w:cs="楷体_GB2312"/>
          <w:bCs/>
        </w:rPr>
        <w:t>（三）目前，项目剩余工程多为控制性工程，各参建单位应更加重视项目管理工作。</w:t>
      </w:r>
      <w:r>
        <w:rPr>
          <w:rFonts w:hint="eastAsia" w:ascii="仿宋_GB2312" w:hAnsi="楷体_GB2312" w:cs="楷体_GB2312"/>
          <w:b/>
        </w:rPr>
        <w:t>一是</w:t>
      </w:r>
      <w:r>
        <w:rPr>
          <w:rFonts w:hint="eastAsia" w:ascii="仿宋_GB2312" w:hAnsi="楷体_GB2312" w:cs="楷体_GB2312"/>
          <w:bCs/>
        </w:rPr>
        <w:t>项目建设单位应加强对参建单位主要人员的管理，确保控制性工程的管理、技术力量不降低；</w:t>
      </w:r>
      <w:r>
        <w:rPr>
          <w:rFonts w:hint="eastAsia" w:ascii="仿宋_GB2312" w:hAnsi="楷体_GB2312" w:cs="楷体_GB2312"/>
          <w:b/>
        </w:rPr>
        <w:t>二是</w:t>
      </w:r>
      <w:r>
        <w:rPr>
          <w:rFonts w:hint="eastAsia" w:ascii="仿宋_GB2312" w:hAnsi="楷体_GB2312" w:cs="楷体_GB2312"/>
          <w:bCs/>
        </w:rPr>
        <w:t>各参建单位应采取有效措施确保施工标准化水平和文明施工形象；</w:t>
      </w:r>
      <w:r>
        <w:rPr>
          <w:rFonts w:hint="eastAsia" w:ascii="仿宋_GB2312" w:hAnsi="楷体_GB2312" w:cs="楷体_GB2312"/>
          <w:b/>
        </w:rPr>
        <w:t>三是</w:t>
      </w:r>
      <w:r>
        <w:rPr>
          <w:rFonts w:hint="eastAsia" w:ascii="仿宋_GB2312" w:hAnsi="楷体_GB2312" w:cs="楷体_GB2312"/>
          <w:bCs/>
        </w:rPr>
        <w:t>隧道初支混凝土施工应采用湿喷工艺；</w:t>
      </w:r>
      <w:r>
        <w:rPr>
          <w:rFonts w:hint="eastAsia" w:ascii="仿宋_GB2312" w:hAnsi="楷体_GB2312" w:cs="楷体_GB2312"/>
          <w:b/>
        </w:rPr>
        <w:t>四是</w:t>
      </w:r>
      <w:r>
        <w:rPr>
          <w:rFonts w:hint="eastAsia" w:ascii="仿宋_GB2312" w:hAnsi="楷体_GB2312" w:cs="楷体_GB2312"/>
          <w:bCs/>
        </w:rPr>
        <w:t>应采取有效措施提高隧道初支施工质量，确保初支表面平整度及钢拱架保护层厚度；</w:t>
      </w:r>
      <w:r>
        <w:rPr>
          <w:rFonts w:hint="eastAsia" w:ascii="仿宋_GB2312" w:hAnsi="楷体_GB2312" w:cs="楷体_GB2312"/>
          <w:b/>
        </w:rPr>
        <w:t>五是</w:t>
      </w:r>
      <w:r>
        <w:rPr>
          <w:rFonts w:hint="eastAsia" w:ascii="仿宋_GB2312" w:hAnsi="楷体_GB2312" w:cs="楷体_GB2312"/>
          <w:bCs/>
        </w:rPr>
        <w:t>桥面铺装、混凝土防撞护栏等的施工应严格执行设计文件的要求；</w:t>
      </w:r>
      <w:r>
        <w:rPr>
          <w:rFonts w:hint="eastAsia" w:ascii="仿宋_GB2312" w:hAnsi="楷体_GB2312" w:cs="楷体_GB2312"/>
          <w:b/>
        </w:rPr>
        <w:t>六是</w:t>
      </w:r>
      <w:r>
        <w:rPr>
          <w:rFonts w:hint="eastAsia" w:ascii="仿宋_GB2312" w:hAnsi="楷体_GB2312" w:cs="楷体_GB2312"/>
          <w:bCs/>
        </w:rPr>
        <w:t>应根据设计文件要求，结合施工现场的地形、水文情况，尽快完善各类排水设施。</w:t>
      </w:r>
    </w:p>
    <w:p>
      <w:pPr>
        <w:ind w:firstLine="654" w:firstLineChars="200"/>
        <w:rPr>
          <w:rFonts w:ascii="仿宋_GB2312" w:hAnsi="楷体_GB2312" w:cs="楷体_GB2312"/>
          <w:bCs/>
        </w:rPr>
      </w:pPr>
      <w:r>
        <w:rPr>
          <w:rFonts w:hint="eastAsia" w:ascii="仿宋_GB2312" w:hAnsi="楷体_GB2312" w:cs="楷体_GB2312"/>
          <w:bCs/>
        </w:rPr>
        <w:t>（四）项目参建单位应认真开展质量问题整改工作。</w:t>
      </w:r>
      <w:r>
        <w:rPr>
          <w:rFonts w:hint="eastAsia" w:ascii="仿宋_GB2312" w:hAnsi="楷体_GB2312" w:cs="楷体_GB2312"/>
          <w:b/>
        </w:rPr>
        <w:t>一是</w:t>
      </w:r>
      <w:r>
        <w:rPr>
          <w:rFonts w:hint="eastAsia" w:ascii="仿宋_GB2312" w:hAnsi="楷体_GB2312" w:cs="楷体_GB2312"/>
          <w:bCs/>
        </w:rPr>
        <w:t>认真汲取前期经验教训，进一步规范质量缺陷处治管理工作，避免缺陷处治工作无序开展，为项目顺利交工验收奠定良好的基础；</w:t>
      </w:r>
      <w:r>
        <w:rPr>
          <w:rFonts w:hint="eastAsia" w:ascii="仿宋_GB2312" w:hAnsi="楷体_GB2312" w:cs="楷体_GB2312"/>
          <w:b/>
        </w:rPr>
        <w:t>二是</w:t>
      </w:r>
      <w:r>
        <w:rPr>
          <w:rFonts w:hint="eastAsia" w:ascii="仿宋_GB2312" w:hAnsi="楷体_GB2312" w:cs="楷体_GB2312"/>
          <w:bCs/>
        </w:rPr>
        <w:t>要求项目建设单位组织相关参建单位对混凝土外观存在明显缺陷的红崖山隧道进口右幅YK72+060处二衬、龙头山互通4号桥8号墩的混凝土强度进行认真核实，发现问题应及时处治；</w:t>
      </w:r>
      <w:r>
        <w:rPr>
          <w:rFonts w:hint="eastAsia" w:ascii="仿宋_GB2312" w:hAnsi="楷体_GB2312" w:cs="楷体_GB2312"/>
          <w:b/>
        </w:rPr>
        <w:t>三是</w:t>
      </w:r>
      <w:r>
        <w:rPr>
          <w:rFonts w:hint="eastAsia" w:ascii="仿宋_GB2312" w:hAnsi="楷体_GB2312" w:cs="楷体_GB2312"/>
          <w:bCs/>
        </w:rPr>
        <w:t>对本次督查发现的</w:t>
      </w:r>
      <w:r>
        <w:rPr>
          <w:rFonts w:ascii="仿宋_GB2312" w:hAnsi="楷体_GB2312" w:cs="楷体_GB2312"/>
          <w:bCs/>
        </w:rPr>
        <w:t>YK40+406</w:t>
      </w:r>
      <w:r>
        <w:rPr>
          <w:rFonts w:hint="eastAsia" w:ascii="仿宋_GB2312" w:hAnsi="楷体_GB2312" w:cs="楷体_GB2312"/>
          <w:bCs/>
        </w:rPr>
        <w:t>～</w:t>
      </w:r>
      <w:r>
        <w:rPr>
          <w:rFonts w:ascii="仿宋_GB2312" w:hAnsi="楷体_GB2312" w:cs="楷体_GB2312"/>
          <w:bCs/>
        </w:rPr>
        <w:t>YK40+490</w:t>
      </w:r>
      <w:r>
        <w:rPr>
          <w:rFonts w:hint="eastAsia" w:ascii="仿宋_GB2312" w:hAnsi="楷体_GB2312" w:cs="楷体_GB2312"/>
          <w:bCs/>
        </w:rPr>
        <w:t>右侧排水沟混凝土回弹强度不足问题，建议进行返工处理。</w:t>
      </w:r>
    </w:p>
    <w:p>
      <w:pPr>
        <w:ind w:firstLine="654" w:firstLineChars="200"/>
        <w:rPr>
          <w:rFonts w:ascii="仿宋_GB2312" w:hAnsi="楷体_GB2312" w:cs="楷体_GB2312"/>
          <w:bCs/>
        </w:rPr>
      </w:pPr>
      <w:r>
        <w:rPr>
          <w:rFonts w:hint="eastAsia" w:ascii="仿宋_GB2312" w:hAnsi="楷体_GB2312" w:cs="楷体_GB2312"/>
          <w:bCs/>
        </w:rPr>
        <w:t>（五）项目参建单位应加强施工现场安全管理工作。</w:t>
      </w:r>
      <w:r>
        <w:rPr>
          <w:rFonts w:hint="eastAsia" w:ascii="仿宋_GB2312" w:hAnsi="楷体_GB2312" w:cs="楷体_GB2312"/>
          <w:b/>
        </w:rPr>
        <w:t>一是</w:t>
      </w:r>
      <w:r>
        <w:rPr>
          <w:rFonts w:hint="eastAsia" w:ascii="仿宋_GB2312" w:hAnsi="楷体_GB2312" w:cs="楷体_GB2312"/>
          <w:bCs/>
        </w:rPr>
        <w:t>隧道逃生管应按要求布设至二衬位置；</w:t>
      </w:r>
      <w:r>
        <w:rPr>
          <w:rFonts w:hint="eastAsia" w:ascii="仿宋_GB2312" w:hAnsi="楷体_GB2312" w:cs="楷体_GB2312"/>
          <w:b/>
        </w:rPr>
        <w:t>二是</w:t>
      </w:r>
      <w:r>
        <w:rPr>
          <w:rFonts w:hint="eastAsia" w:ascii="仿宋_GB2312" w:hAnsi="楷体_GB2312" w:cs="楷体_GB2312"/>
          <w:bCs/>
        </w:rPr>
        <w:t>桥梁临边、临空作业应按要求设置相应的防护设施。</w:t>
      </w:r>
    </w:p>
    <w:p>
      <w:pPr>
        <w:overflowPunct w:val="0"/>
        <w:adjustRightInd w:val="0"/>
        <w:ind w:firstLine="654" w:firstLineChars="200"/>
      </w:pPr>
      <w:r>
        <w:rPr>
          <w:rFonts w:hint="eastAsia"/>
        </w:rPr>
        <w:t>（六）对本报告及其附件提出的存在问题，项目建设单位应组织相关单位逐一整改落实，并在收到本报告一个月内形成整改报告报送我局。对一时难以整改的问题，相关单位应制定整改方案，整改方案应包括整改时限、整改责任人及整改措施，项目建设单位负责督促整改完成。我局将适时组织检测单位对存在问题整改情况进行复查，如拒不整改，将按重要信息告知制度的规定告知交通主管部门等上级单位，并将该情况纳入相关单位的年度信用评价。</w:t>
      </w:r>
    </w:p>
    <w:p>
      <w:pPr>
        <w:kinsoku w:val="0"/>
        <w:snapToGrid w:val="0"/>
        <w:ind w:firstLine="654" w:firstLineChars="200"/>
        <w:rPr>
          <w:rFonts w:ascii="仿宋_GB2312" w:hAnsi="仿宋_GB2312" w:cs="仿宋_GB2312"/>
          <w:color w:val="FF0000"/>
        </w:rPr>
      </w:pPr>
    </w:p>
    <w:p>
      <w:pPr>
        <w:ind w:firstLine="654" w:firstLineChars="200"/>
        <w:rPr>
          <w:rFonts w:ascii="仿宋_GB2312" w:hAnsi="仿宋"/>
        </w:rPr>
      </w:pPr>
      <w:r>
        <w:rPr>
          <w:rFonts w:hint="eastAsia" w:ascii="仿宋_GB2312" w:hAnsi="仿宋"/>
        </w:rPr>
        <w:t>附件：1.都香高速公路守望至红山段参建单位一览表</w:t>
      </w:r>
    </w:p>
    <w:p>
      <w:pPr>
        <w:ind w:left="1962" w:leftChars="500" w:hanging="327" w:hangingChars="100"/>
        <w:rPr>
          <w:rFonts w:ascii="仿宋_GB2312" w:hAnsi="仿宋"/>
        </w:rPr>
      </w:pPr>
      <w:r>
        <w:rPr>
          <w:rFonts w:hint="eastAsia" w:ascii="仿宋_GB2312" w:hAnsi="仿宋"/>
        </w:rPr>
        <w:t>2.都香高速公路守望至红山段2</w:t>
      </w:r>
      <w:r>
        <w:rPr>
          <w:rFonts w:ascii="仿宋_GB2312" w:hAnsi="仿宋"/>
        </w:rPr>
        <w:t>022</w:t>
      </w:r>
      <w:r>
        <w:rPr>
          <w:rFonts w:hint="eastAsia" w:ascii="仿宋_GB2312" w:hAnsi="仿宋"/>
        </w:rPr>
        <w:t>年质量综合督查工程实体抽检结果汇总表</w:t>
      </w:r>
    </w:p>
    <w:p>
      <w:pPr>
        <w:ind w:left="1962" w:leftChars="500" w:hanging="327" w:hangingChars="100"/>
        <w:rPr>
          <w:rFonts w:ascii="仿宋_GB2312" w:hAnsi="仿宋"/>
        </w:rPr>
      </w:pPr>
      <w:r>
        <w:rPr>
          <w:rFonts w:hint="eastAsia" w:ascii="仿宋_GB2312" w:hAnsi="仿宋"/>
        </w:rPr>
        <w:t>3.存在问题清单</w:t>
      </w:r>
    </w:p>
    <w:p>
      <w:pPr>
        <w:snapToGrid w:val="0"/>
        <w:ind w:left="1962" w:leftChars="500" w:hanging="327" w:hangingChars="100"/>
        <w:rPr>
          <w:rFonts w:ascii="仿宋_GB2312" w:hAnsi="仿宋"/>
        </w:rPr>
      </w:pPr>
    </w:p>
    <w:p>
      <w:pPr>
        <w:snapToGrid w:val="0"/>
        <w:ind w:left="1962" w:leftChars="500" w:hanging="327" w:hangingChars="100"/>
        <w:rPr>
          <w:rFonts w:ascii="仿宋_GB2312" w:hAnsi="仿宋"/>
        </w:rPr>
      </w:pPr>
    </w:p>
    <w:p>
      <w:pPr>
        <w:snapToGrid w:val="0"/>
        <w:ind w:left="1962" w:leftChars="500" w:hanging="327" w:hangingChars="100"/>
        <w:rPr>
          <w:rFonts w:ascii="仿宋_GB2312" w:hAnsi="仿宋"/>
        </w:rPr>
      </w:pPr>
    </w:p>
    <w:p>
      <w:pPr>
        <w:ind w:right="130" w:rightChars="40" w:firstLine="2616" w:firstLineChars="800"/>
        <w:rPr>
          <w:rFonts w:ascii="仿宋_GB2312" w:hAnsi="仿宋"/>
        </w:rPr>
      </w:pPr>
      <w:r>
        <w:rPr>
          <w:rFonts w:hint="eastAsia" w:ascii="仿宋_GB2312" w:hAnsi="仿宋"/>
        </w:rPr>
        <w:t>云南省交通运输厅工程质量监督局</w:t>
      </w:r>
    </w:p>
    <w:p>
      <w:pPr>
        <w:adjustRightInd w:val="0"/>
        <w:snapToGrid w:val="0"/>
        <w:spacing w:line="360" w:lineRule="auto"/>
        <w:ind w:firstLine="3924" w:firstLineChars="1200"/>
        <w:rPr>
          <w:rFonts w:ascii="仿宋_GB2312" w:hAnsi="宋体"/>
        </w:rPr>
      </w:pPr>
      <w:r>
        <w:rPr>
          <w:rFonts w:hint="eastAsia" w:ascii="仿宋_GB2312" w:hAnsi="仿宋"/>
        </w:rPr>
        <w:t>202</w:t>
      </w:r>
      <w:r>
        <w:rPr>
          <w:rFonts w:ascii="仿宋_GB2312" w:hAnsi="仿宋"/>
        </w:rPr>
        <w:t>2</w:t>
      </w:r>
      <w:r>
        <w:rPr>
          <w:rFonts w:hint="eastAsia" w:ascii="仿宋_GB2312" w:hAnsi="仿宋"/>
        </w:rPr>
        <w:t>年</w:t>
      </w:r>
      <w:r>
        <w:rPr>
          <w:rFonts w:ascii="仿宋_GB2312" w:hAnsi="仿宋"/>
        </w:rPr>
        <w:t>5</w:t>
      </w:r>
      <w:r>
        <w:rPr>
          <w:rFonts w:hint="eastAsia" w:ascii="仿宋_GB2312" w:hAnsi="仿宋"/>
        </w:rPr>
        <w:t>月</w:t>
      </w:r>
      <w:r>
        <w:rPr>
          <w:rFonts w:ascii="仿宋_GB2312" w:hAnsi="仿宋"/>
        </w:rPr>
        <w:t>31</w:t>
      </w:r>
      <w:r>
        <w:rPr>
          <w:rFonts w:hint="eastAsia" w:ascii="仿宋_GB2312" w:hAnsi="仿宋"/>
        </w:rPr>
        <w:t>日</w:t>
      </w:r>
      <w:bookmarkEnd w:id="0"/>
    </w:p>
    <w:sectPr>
      <w:footerReference r:id="rId3" w:type="default"/>
      <w:footerReference r:id="rId4" w:type="even"/>
      <w:pgSz w:w="11906" w:h="16838"/>
      <w:pgMar w:top="1440" w:right="1797" w:bottom="1440" w:left="1797" w:header="851" w:footer="1418" w:gutter="0"/>
      <w:pgNumType w:fmt="decimalFullWidth"/>
      <w:cols w:space="425" w:num="1"/>
      <w:docGrid w:type="linesAndChars" w:linePitch="579" w:charSpace="15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entury">
    <w:panose1 w:val="02040604050505020304"/>
    <w:charset w:val="00"/>
    <w:family w:val="roman"/>
    <w:pitch w:val="default"/>
    <w:sig w:usb0="00000287" w:usb1="00000000" w:usb2="00000000" w:usb3="00000000" w:csb0="2000009F" w:csb1="DFD70000"/>
  </w:font>
  <w:font w:name="Verdana">
    <w:panose1 w:val="020B0604030504040204"/>
    <w:charset w:val="00"/>
    <w:family w:val="swiss"/>
    <w:pitch w:val="default"/>
    <w:sig w:usb0="00000287" w:usb1="00000000"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9187043"/>
    </w:sdtPr>
    <w:sdtEndPr>
      <w:rPr>
        <w:rFonts w:hint="eastAsia" w:ascii="仿宋_GB2312"/>
      </w:rPr>
    </w:sdtEndPr>
    <w:sdtContent>
      <w:p>
        <w:pPr>
          <w:pStyle w:val="10"/>
          <w:jc w:val="center"/>
          <w:rPr>
            <w:rFonts w:ascii="仿宋_GB2312"/>
          </w:rPr>
        </w:pPr>
        <w:r>
          <w:rPr>
            <w:rFonts w:hint="eastAsia" w:ascii="仿宋_GB2312"/>
          </w:rPr>
          <w:fldChar w:fldCharType="begin"/>
        </w:r>
        <w:r>
          <w:rPr>
            <w:rFonts w:hint="eastAsia" w:ascii="仿宋_GB2312"/>
          </w:rPr>
          <w:instrText xml:space="preserve">PAGE   \* MERGEFORMAT</w:instrText>
        </w:r>
        <w:r>
          <w:rPr>
            <w:rFonts w:hint="eastAsia" w:ascii="仿宋_GB2312"/>
          </w:rPr>
          <w:fldChar w:fldCharType="separate"/>
        </w:r>
        <w:r>
          <w:rPr>
            <w:rFonts w:hint="eastAsia" w:ascii="仿宋_GB2312"/>
            <w:lang w:val="zh-CN"/>
          </w:rPr>
          <w:t>３</w:t>
        </w:r>
        <w:r>
          <w:rPr>
            <w:rFonts w:hint="eastAsia" w:ascii="仿宋_GB231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7539276"/>
    </w:sdtPr>
    <w:sdtEndPr>
      <w:rPr>
        <w:rFonts w:hint="eastAsia" w:ascii="仿宋_GB2312"/>
      </w:rPr>
    </w:sdtEndPr>
    <w:sdtContent>
      <w:p>
        <w:pPr>
          <w:pStyle w:val="10"/>
          <w:jc w:val="center"/>
          <w:rPr>
            <w:rFonts w:ascii="仿宋_GB2312"/>
          </w:rPr>
        </w:pPr>
        <w:r>
          <w:rPr>
            <w:rFonts w:hint="eastAsia" w:ascii="仿宋_GB2312"/>
          </w:rPr>
          <w:fldChar w:fldCharType="begin"/>
        </w:r>
        <w:r>
          <w:rPr>
            <w:rFonts w:hint="eastAsia" w:ascii="仿宋_GB2312"/>
          </w:rPr>
          <w:instrText xml:space="preserve">PAGE   \* MERGEFORMAT</w:instrText>
        </w:r>
        <w:r>
          <w:rPr>
            <w:rFonts w:hint="eastAsia" w:ascii="仿宋_GB2312"/>
          </w:rPr>
          <w:fldChar w:fldCharType="separate"/>
        </w:r>
        <w:r>
          <w:rPr>
            <w:rFonts w:hint="eastAsia" w:ascii="仿宋_GB2312"/>
            <w:lang w:val="zh-CN"/>
          </w:rPr>
          <w:t>４</w:t>
        </w:r>
        <w:r>
          <w:rPr>
            <w:rFonts w:hint="eastAsia" w:ascii="仿宋_GB2312"/>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dit="trackedChanges" w:enforcement="0"/>
  <w:defaultTabStop w:val="420"/>
  <w:evenAndOddHeaders w:val="1"/>
  <w:drawingGridHorizontalSpacing w:val="164"/>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551454"/>
    <w:rsid w:val="00004158"/>
    <w:rsid w:val="00010021"/>
    <w:rsid w:val="000117F7"/>
    <w:rsid w:val="00016E79"/>
    <w:rsid w:val="00021587"/>
    <w:rsid w:val="0002772C"/>
    <w:rsid w:val="00040748"/>
    <w:rsid w:val="00044F6F"/>
    <w:rsid w:val="00051382"/>
    <w:rsid w:val="00053F37"/>
    <w:rsid w:val="0007153C"/>
    <w:rsid w:val="00071779"/>
    <w:rsid w:val="00074EAB"/>
    <w:rsid w:val="00083ED0"/>
    <w:rsid w:val="00084055"/>
    <w:rsid w:val="00087D21"/>
    <w:rsid w:val="000941D9"/>
    <w:rsid w:val="000A293D"/>
    <w:rsid w:val="000A2C8C"/>
    <w:rsid w:val="000A62F4"/>
    <w:rsid w:val="000B1586"/>
    <w:rsid w:val="000B2313"/>
    <w:rsid w:val="000B27FF"/>
    <w:rsid w:val="000B3AB6"/>
    <w:rsid w:val="000B5F77"/>
    <w:rsid w:val="000B6BDE"/>
    <w:rsid w:val="000B6EB6"/>
    <w:rsid w:val="000C2688"/>
    <w:rsid w:val="000C2F00"/>
    <w:rsid w:val="000D2A73"/>
    <w:rsid w:val="000D3BE2"/>
    <w:rsid w:val="000D7EA8"/>
    <w:rsid w:val="000E03EE"/>
    <w:rsid w:val="000E0F12"/>
    <w:rsid w:val="000E28D0"/>
    <w:rsid w:val="000E36F6"/>
    <w:rsid w:val="000E574F"/>
    <w:rsid w:val="000E589E"/>
    <w:rsid w:val="000E782E"/>
    <w:rsid w:val="000F0EE2"/>
    <w:rsid w:val="000F3FF3"/>
    <w:rsid w:val="000F6AC4"/>
    <w:rsid w:val="00100563"/>
    <w:rsid w:val="00100A13"/>
    <w:rsid w:val="00101979"/>
    <w:rsid w:val="00104491"/>
    <w:rsid w:val="00107A28"/>
    <w:rsid w:val="00113A35"/>
    <w:rsid w:val="00117BE3"/>
    <w:rsid w:val="00120C40"/>
    <w:rsid w:val="001233F3"/>
    <w:rsid w:val="00123CD2"/>
    <w:rsid w:val="001300F3"/>
    <w:rsid w:val="00130C27"/>
    <w:rsid w:val="001329CD"/>
    <w:rsid w:val="00136449"/>
    <w:rsid w:val="00137D7A"/>
    <w:rsid w:val="00140B9D"/>
    <w:rsid w:val="00145C91"/>
    <w:rsid w:val="00147EDC"/>
    <w:rsid w:val="00150958"/>
    <w:rsid w:val="0015351A"/>
    <w:rsid w:val="001553EA"/>
    <w:rsid w:val="00157F17"/>
    <w:rsid w:val="0016047E"/>
    <w:rsid w:val="00166B8E"/>
    <w:rsid w:val="001728E2"/>
    <w:rsid w:val="00191755"/>
    <w:rsid w:val="00194B6B"/>
    <w:rsid w:val="00195A01"/>
    <w:rsid w:val="001A1155"/>
    <w:rsid w:val="001B35B5"/>
    <w:rsid w:val="001C3150"/>
    <w:rsid w:val="001C34ED"/>
    <w:rsid w:val="001C58AE"/>
    <w:rsid w:val="001C7E28"/>
    <w:rsid w:val="001E0EC9"/>
    <w:rsid w:val="001E6B47"/>
    <w:rsid w:val="001E7217"/>
    <w:rsid w:val="001F5C16"/>
    <w:rsid w:val="002004BE"/>
    <w:rsid w:val="00202C6A"/>
    <w:rsid w:val="00215326"/>
    <w:rsid w:val="00217FCC"/>
    <w:rsid w:val="002208ED"/>
    <w:rsid w:val="00226C3B"/>
    <w:rsid w:val="002403A5"/>
    <w:rsid w:val="002425D4"/>
    <w:rsid w:val="00243938"/>
    <w:rsid w:val="002440A9"/>
    <w:rsid w:val="00251283"/>
    <w:rsid w:val="00251B6B"/>
    <w:rsid w:val="00253C46"/>
    <w:rsid w:val="00254A81"/>
    <w:rsid w:val="00266CCD"/>
    <w:rsid w:val="00273053"/>
    <w:rsid w:val="00277FDF"/>
    <w:rsid w:val="00283B5E"/>
    <w:rsid w:val="002927F8"/>
    <w:rsid w:val="00293FEF"/>
    <w:rsid w:val="00294A12"/>
    <w:rsid w:val="002971E2"/>
    <w:rsid w:val="0029751E"/>
    <w:rsid w:val="00297571"/>
    <w:rsid w:val="002978C9"/>
    <w:rsid w:val="002A0994"/>
    <w:rsid w:val="002A2698"/>
    <w:rsid w:val="002A3C03"/>
    <w:rsid w:val="002A5569"/>
    <w:rsid w:val="002B1B75"/>
    <w:rsid w:val="002B5A99"/>
    <w:rsid w:val="002B69ED"/>
    <w:rsid w:val="002B6C1B"/>
    <w:rsid w:val="002C2D71"/>
    <w:rsid w:val="002D46BC"/>
    <w:rsid w:val="002D669B"/>
    <w:rsid w:val="002D7098"/>
    <w:rsid w:val="002E0B51"/>
    <w:rsid w:val="002E35BA"/>
    <w:rsid w:val="002F2057"/>
    <w:rsid w:val="002F6459"/>
    <w:rsid w:val="00304979"/>
    <w:rsid w:val="0031182B"/>
    <w:rsid w:val="00312FEB"/>
    <w:rsid w:val="003152A0"/>
    <w:rsid w:val="0031730F"/>
    <w:rsid w:val="00317B29"/>
    <w:rsid w:val="00323EEC"/>
    <w:rsid w:val="0034383F"/>
    <w:rsid w:val="003440F9"/>
    <w:rsid w:val="00344C98"/>
    <w:rsid w:val="00351028"/>
    <w:rsid w:val="00356484"/>
    <w:rsid w:val="003571B1"/>
    <w:rsid w:val="003601EE"/>
    <w:rsid w:val="00360CAD"/>
    <w:rsid w:val="00361335"/>
    <w:rsid w:val="00365486"/>
    <w:rsid w:val="0036697B"/>
    <w:rsid w:val="003729D6"/>
    <w:rsid w:val="003750D3"/>
    <w:rsid w:val="00375945"/>
    <w:rsid w:val="00376671"/>
    <w:rsid w:val="003766E4"/>
    <w:rsid w:val="00377314"/>
    <w:rsid w:val="00380B8E"/>
    <w:rsid w:val="0038746A"/>
    <w:rsid w:val="00387646"/>
    <w:rsid w:val="00390305"/>
    <w:rsid w:val="0039065D"/>
    <w:rsid w:val="00394988"/>
    <w:rsid w:val="00395458"/>
    <w:rsid w:val="003A2D5D"/>
    <w:rsid w:val="003A39C2"/>
    <w:rsid w:val="003B4C24"/>
    <w:rsid w:val="003B5121"/>
    <w:rsid w:val="003B75F2"/>
    <w:rsid w:val="003C05F9"/>
    <w:rsid w:val="003C157E"/>
    <w:rsid w:val="003C2061"/>
    <w:rsid w:val="003C5814"/>
    <w:rsid w:val="003D44B1"/>
    <w:rsid w:val="003D5118"/>
    <w:rsid w:val="003D5608"/>
    <w:rsid w:val="003D7682"/>
    <w:rsid w:val="003D7EF1"/>
    <w:rsid w:val="003E06A3"/>
    <w:rsid w:val="003E2996"/>
    <w:rsid w:val="003E3732"/>
    <w:rsid w:val="003E3AD9"/>
    <w:rsid w:val="003E7BAA"/>
    <w:rsid w:val="003F043E"/>
    <w:rsid w:val="003F39C6"/>
    <w:rsid w:val="003F68F7"/>
    <w:rsid w:val="004046A6"/>
    <w:rsid w:val="004062FC"/>
    <w:rsid w:val="00411EE7"/>
    <w:rsid w:val="004131CE"/>
    <w:rsid w:val="0041694B"/>
    <w:rsid w:val="004208D1"/>
    <w:rsid w:val="004210E3"/>
    <w:rsid w:val="004212DA"/>
    <w:rsid w:val="00422D36"/>
    <w:rsid w:val="00424B1B"/>
    <w:rsid w:val="00427848"/>
    <w:rsid w:val="00434014"/>
    <w:rsid w:val="0043756A"/>
    <w:rsid w:val="00440BA9"/>
    <w:rsid w:val="00441355"/>
    <w:rsid w:val="004451E7"/>
    <w:rsid w:val="004454AC"/>
    <w:rsid w:val="004545AA"/>
    <w:rsid w:val="004545E1"/>
    <w:rsid w:val="004552BB"/>
    <w:rsid w:val="00461C92"/>
    <w:rsid w:val="0046474E"/>
    <w:rsid w:val="00466027"/>
    <w:rsid w:val="00466175"/>
    <w:rsid w:val="0046725E"/>
    <w:rsid w:val="004730D8"/>
    <w:rsid w:val="004803C5"/>
    <w:rsid w:val="00480624"/>
    <w:rsid w:val="0048580B"/>
    <w:rsid w:val="00486746"/>
    <w:rsid w:val="00491283"/>
    <w:rsid w:val="00492C0E"/>
    <w:rsid w:val="00493350"/>
    <w:rsid w:val="00494BCF"/>
    <w:rsid w:val="00494E7C"/>
    <w:rsid w:val="00495D4F"/>
    <w:rsid w:val="004A12BE"/>
    <w:rsid w:val="004A1B5A"/>
    <w:rsid w:val="004A3C25"/>
    <w:rsid w:val="004B04FA"/>
    <w:rsid w:val="004B1BDE"/>
    <w:rsid w:val="004B3B67"/>
    <w:rsid w:val="004B4B6F"/>
    <w:rsid w:val="004C0B72"/>
    <w:rsid w:val="004D325C"/>
    <w:rsid w:val="004D37EF"/>
    <w:rsid w:val="004D4630"/>
    <w:rsid w:val="004D4D2A"/>
    <w:rsid w:val="004E021C"/>
    <w:rsid w:val="004E1CE9"/>
    <w:rsid w:val="005029F5"/>
    <w:rsid w:val="0050475A"/>
    <w:rsid w:val="00510F64"/>
    <w:rsid w:val="00511078"/>
    <w:rsid w:val="005140F3"/>
    <w:rsid w:val="005170AD"/>
    <w:rsid w:val="005200B1"/>
    <w:rsid w:val="005221A8"/>
    <w:rsid w:val="005323CF"/>
    <w:rsid w:val="005334F1"/>
    <w:rsid w:val="00533737"/>
    <w:rsid w:val="00533ECA"/>
    <w:rsid w:val="005341FC"/>
    <w:rsid w:val="00537C7A"/>
    <w:rsid w:val="00542501"/>
    <w:rsid w:val="005440ED"/>
    <w:rsid w:val="005500C2"/>
    <w:rsid w:val="00551454"/>
    <w:rsid w:val="00560CF2"/>
    <w:rsid w:val="00560D50"/>
    <w:rsid w:val="0056104F"/>
    <w:rsid w:val="0056261E"/>
    <w:rsid w:val="0056532D"/>
    <w:rsid w:val="00565BA8"/>
    <w:rsid w:val="00567286"/>
    <w:rsid w:val="00567524"/>
    <w:rsid w:val="00567908"/>
    <w:rsid w:val="005718D6"/>
    <w:rsid w:val="0057288A"/>
    <w:rsid w:val="00573F30"/>
    <w:rsid w:val="005769F7"/>
    <w:rsid w:val="00583F60"/>
    <w:rsid w:val="00584DC9"/>
    <w:rsid w:val="005864DA"/>
    <w:rsid w:val="005874D1"/>
    <w:rsid w:val="00587E12"/>
    <w:rsid w:val="005B2AC3"/>
    <w:rsid w:val="005B43E7"/>
    <w:rsid w:val="005B52E4"/>
    <w:rsid w:val="005B57CC"/>
    <w:rsid w:val="005B658D"/>
    <w:rsid w:val="005B65CE"/>
    <w:rsid w:val="005C55A7"/>
    <w:rsid w:val="005D7E38"/>
    <w:rsid w:val="005E1942"/>
    <w:rsid w:val="005F30FC"/>
    <w:rsid w:val="005F3FB1"/>
    <w:rsid w:val="005F499E"/>
    <w:rsid w:val="00603483"/>
    <w:rsid w:val="0061177A"/>
    <w:rsid w:val="00616656"/>
    <w:rsid w:val="00623B2C"/>
    <w:rsid w:val="006252A4"/>
    <w:rsid w:val="00626942"/>
    <w:rsid w:val="0063295C"/>
    <w:rsid w:val="0064519B"/>
    <w:rsid w:val="00646FF5"/>
    <w:rsid w:val="00650692"/>
    <w:rsid w:val="006537F1"/>
    <w:rsid w:val="006721F0"/>
    <w:rsid w:val="006751DB"/>
    <w:rsid w:val="006778B4"/>
    <w:rsid w:val="00694D26"/>
    <w:rsid w:val="00694DDC"/>
    <w:rsid w:val="006978C6"/>
    <w:rsid w:val="00697A6C"/>
    <w:rsid w:val="006A55BD"/>
    <w:rsid w:val="006B26F5"/>
    <w:rsid w:val="006B5F51"/>
    <w:rsid w:val="006B7E14"/>
    <w:rsid w:val="006C0012"/>
    <w:rsid w:val="006C16AF"/>
    <w:rsid w:val="006C42DB"/>
    <w:rsid w:val="006D092D"/>
    <w:rsid w:val="006D15EB"/>
    <w:rsid w:val="006D4501"/>
    <w:rsid w:val="006D69DE"/>
    <w:rsid w:val="006E1713"/>
    <w:rsid w:val="006E1FA8"/>
    <w:rsid w:val="006E2ABD"/>
    <w:rsid w:val="006E5E85"/>
    <w:rsid w:val="006F1239"/>
    <w:rsid w:val="006F2C79"/>
    <w:rsid w:val="006F4E3D"/>
    <w:rsid w:val="006F66F9"/>
    <w:rsid w:val="00701A3E"/>
    <w:rsid w:val="00704557"/>
    <w:rsid w:val="00704B85"/>
    <w:rsid w:val="00705F1E"/>
    <w:rsid w:val="00711D86"/>
    <w:rsid w:val="00717C64"/>
    <w:rsid w:val="00721499"/>
    <w:rsid w:val="00722FBF"/>
    <w:rsid w:val="00724ABB"/>
    <w:rsid w:val="00727F19"/>
    <w:rsid w:val="00730AB2"/>
    <w:rsid w:val="007366F1"/>
    <w:rsid w:val="007377E2"/>
    <w:rsid w:val="00746328"/>
    <w:rsid w:val="007513A5"/>
    <w:rsid w:val="00753999"/>
    <w:rsid w:val="00757391"/>
    <w:rsid w:val="007574E6"/>
    <w:rsid w:val="007629B1"/>
    <w:rsid w:val="00766149"/>
    <w:rsid w:val="0077518D"/>
    <w:rsid w:val="0078751E"/>
    <w:rsid w:val="00793EDE"/>
    <w:rsid w:val="00794135"/>
    <w:rsid w:val="007942C2"/>
    <w:rsid w:val="007A2FB9"/>
    <w:rsid w:val="007C0429"/>
    <w:rsid w:val="007C4AEE"/>
    <w:rsid w:val="007C6470"/>
    <w:rsid w:val="007C789F"/>
    <w:rsid w:val="007D451D"/>
    <w:rsid w:val="007D7AD1"/>
    <w:rsid w:val="007D7DD5"/>
    <w:rsid w:val="007E3C39"/>
    <w:rsid w:val="007F05F7"/>
    <w:rsid w:val="007F3F56"/>
    <w:rsid w:val="007F4EDD"/>
    <w:rsid w:val="007F7755"/>
    <w:rsid w:val="00810C8E"/>
    <w:rsid w:val="0081150E"/>
    <w:rsid w:val="008116D2"/>
    <w:rsid w:val="00811E66"/>
    <w:rsid w:val="00812DF3"/>
    <w:rsid w:val="008130B8"/>
    <w:rsid w:val="00815141"/>
    <w:rsid w:val="0081553F"/>
    <w:rsid w:val="00816605"/>
    <w:rsid w:val="0083213F"/>
    <w:rsid w:val="00837B93"/>
    <w:rsid w:val="008435AC"/>
    <w:rsid w:val="00844923"/>
    <w:rsid w:val="00847381"/>
    <w:rsid w:val="00852942"/>
    <w:rsid w:val="00852AC5"/>
    <w:rsid w:val="00860373"/>
    <w:rsid w:val="00862F74"/>
    <w:rsid w:val="00863C6D"/>
    <w:rsid w:val="0086617E"/>
    <w:rsid w:val="0086670F"/>
    <w:rsid w:val="00867388"/>
    <w:rsid w:val="00875224"/>
    <w:rsid w:val="00875E20"/>
    <w:rsid w:val="00877170"/>
    <w:rsid w:val="00881AAC"/>
    <w:rsid w:val="00890BE6"/>
    <w:rsid w:val="008915B7"/>
    <w:rsid w:val="008917C9"/>
    <w:rsid w:val="00894E57"/>
    <w:rsid w:val="008961DD"/>
    <w:rsid w:val="008A40CC"/>
    <w:rsid w:val="008A603C"/>
    <w:rsid w:val="008A6172"/>
    <w:rsid w:val="008A7857"/>
    <w:rsid w:val="008A7A6B"/>
    <w:rsid w:val="008B0CAF"/>
    <w:rsid w:val="008B6340"/>
    <w:rsid w:val="008B7022"/>
    <w:rsid w:val="008C4E4E"/>
    <w:rsid w:val="008C6481"/>
    <w:rsid w:val="008D03F1"/>
    <w:rsid w:val="008D26E8"/>
    <w:rsid w:val="008F008C"/>
    <w:rsid w:val="008F49A0"/>
    <w:rsid w:val="008F7701"/>
    <w:rsid w:val="00901809"/>
    <w:rsid w:val="0090788D"/>
    <w:rsid w:val="009158F0"/>
    <w:rsid w:val="009279FE"/>
    <w:rsid w:val="0093628B"/>
    <w:rsid w:val="00936C45"/>
    <w:rsid w:val="009502B3"/>
    <w:rsid w:val="009530C1"/>
    <w:rsid w:val="00961661"/>
    <w:rsid w:val="009624B6"/>
    <w:rsid w:val="009641DB"/>
    <w:rsid w:val="0097014E"/>
    <w:rsid w:val="0097212B"/>
    <w:rsid w:val="00974657"/>
    <w:rsid w:val="00977D34"/>
    <w:rsid w:val="00983672"/>
    <w:rsid w:val="009843E3"/>
    <w:rsid w:val="00985063"/>
    <w:rsid w:val="0099016D"/>
    <w:rsid w:val="00992BB8"/>
    <w:rsid w:val="00997AAC"/>
    <w:rsid w:val="009A0166"/>
    <w:rsid w:val="009A0EBF"/>
    <w:rsid w:val="009A1ED6"/>
    <w:rsid w:val="009A65A5"/>
    <w:rsid w:val="009B004C"/>
    <w:rsid w:val="009B179D"/>
    <w:rsid w:val="009B4B6D"/>
    <w:rsid w:val="009B5D92"/>
    <w:rsid w:val="009B636E"/>
    <w:rsid w:val="009C0D59"/>
    <w:rsid w:val="009C3767"/>
    <w:rsid w:val="009C3C40"/>
    <w:rsid w:val="009D411F"/>
    <w:rsid w:val="009D5574"/>
    <w:rsid w:val="009E0E55"/>
    <w:rsid w:val="009F450D"/>
    <w:rsid w:val="009F6EC1"/>
    <w:rsid w:val="00A00037"/>
    <w:rsid w:val="00A01822"/>
    <w:rsid w:val="00A0454B"/>
    <w:rsid w:val="00A0593A"/>
    <w:rsid w:val="00A06931"/>
    <w:rsid w:val="00A06ABC"/>
    <w:rsid w:val="00A06CA8"/>
    <w:rsid w:val="00A10CB5"/>
    <w:rsid w:val="00A1231E"/>
    <w:rsid w:val="00A1383C"/>
    <w:rsid w:val="00A15396"/>
    <w:rsid w:val="00A15FE5"/>
    <w:rsid w:val="00A23599"/>
    <w:rsid w:val="00A23F9F"/>
    <w:rsid w:val="00A2617D"/>
    <w:rsid w:val="00A27038"/>
    <w:rsid w:val="00A34823"/>
    <w:rsid w:val="00A40FA1"/>
    <w:rsid w:val="00A51F50"/>
    <w:rsid w:val="00A52283"/>
    <w:rsid w:val="00A527E3"/>
    <w:rsid w:val="00A54F22"/>
    <w:rsid w:val="00A56096"/>
    <w:rsid w:val="00A61DA4"/>
    <w:rsid w:val="00A67EF6"/>
    <w:rsid w:val="00A71550"/>
    <w:rsid w:val="00A73395"/>
    <w:rsid w:val="00A8119E"/>
    <w:rsid w:val="00A86CB2"/>
    <w:rsid w:val="00A87C80"/>
    <w:rsid w:val="00A903F1"/>
    <w:rsid w:val="00A920CF"/>
    <w:rsid w:val="00A93A25"/>
    <w:rsid w:val="00A95BAE"/>
    <w:rsid w:val="00A96897"/>
    <w:rsid w:val="00A97D20"/>
    <w:rsid w:val="00AA6520"/>
    <w:rsid w:val="00AB052F"/>
    <w:rsid w:val="00AB53EC"/>
    <w:rsid w:val="00AB69FF"/>
    <w:rsid w:val="00AC305C"/>
    <w:rsid w:val="00AC376E"/>
    <w:rsid w:val="00AC651E"/>
    <w:rsid w:val="00AC754F"/>
    <w:rsid w:val="00AD4629"/>
    <w:rsid w:val="00AD4BE2"/>
    <w:rsid w:val="00AD5282"/>
    <w:rsid w:val="00AD59BE"/>
    <w:rsid w:val="00AE284D"/>
    <w:rsid w:val="00AE459C"/>
    <w:rsid w:val="00AE45A5"/>
    <w:rsid w:val="00AF2718"/>
    <w:rsid w:val="00B02503"/>
    <w:rsid w:val="00B04179"/>
    <w:rsid w:val="00B0439B"/>
    <w:rsid w:val="00B065FA"/>
    <w:rsid w:val="00B071CC"/>
    <w:rsid w:val="00B20968"/>
    <w:rsid w:val="00B23848"/>
    <w:rsid w:val="00B301C0"/>
    <w:rsid w:val="00B43FF8"/>
    <w:rsid w:val="00B502BC"/>
    <w:rsid w:val="00B516A5"/>
    <w:rsid w:val="00B540C0"/>
    <w:rsid w:val="00B5449C"/>
    <w:rsid w:val="00B5717D"/>
    <w:rsid w:val="00B57274"/>
    <w:rsid w:val="00B5781B"/>
    <w:rsid w:val="00B61E67"/>
    <w:rsid w:val="00B76E28"/>
    <w:rsid w:val="00B85211"/>
    <w:rsid w:val="00B90C76"/>
    <w:rsid w:val="00BA2BB3"/>
    <w:rsid w:val="00BA2F93"/>
    <w:rsid w:val="00BA32CE"/>
    <w:rsid w:val="00BA79C1"/>
    <w:rsid w:val="00BA7C8B"/>
    <w:rsid w:val="00BB0268"/>
    <w:rsid w:val="00BB2B40"/>
    <w:rsid w:val="00BB3BD9"/>
    <w:rsid w:val="00BB6187"/>
    <w:rsid w:val="00BC2AFC"/>
    <w:rsid w:val="00BC3F78"/>
    <w:rsid w:val="00BC6106"/>
    <w:rsid w:val="00BC75ED"/>
    <w:rsid w:val="00BD2EA2"/>
    <w:rsid w:val="00BD731E"/>
    <w:rsid w:val="00BE0236"/>
    <w:rsid w:val="00BE1965"/>
    <w:rsid w:val="00BE3017"/>
    <w:rsid w:val="00BE3471"/>
    <w:rsid w:val="00BE4F90"/>
    <w:rsid w:val="00BF161A"/>
    <w:rsid w:val="00BF4E82"/>
    <w:rsid w:val="00BF69A3"/>
    <w:rsid w:val="00C02CF1"/>
    <w:rsid w:val="00C04480"/>
    <w:rsid w:val="00C15421"/>
    <w:rsid w:val="00C22A75"/>
    <w:rsid w:val="00C2621D"/>
    <w:rsid w:val="00C3130A"/>
    <w:rsid w:val="00C32EFA"/>
    <w:rsid w:val="00C36D0C"/>
    <w:rsid w:val="00C4222F"/>
    <w:rsid w:val="00C42A4E"/>
    <w:rsid w:val="00C57668"/>
    <w:rsid w:val="00C63F19"/>
    <w:rsid w:val="00C71086"/>
    <w:rsid w:val="00C71A68"/>
    <w:rsid w:val="00C75531"/>
    <w:rsid w:val="00C8032B"/>
    <w:rsid w:val="00C83E53"/>
    <w:rsid w:val="00C87018"/>
    <w:rsid w:val="00C93165"/>
    <w:rsid w:val="00C9356E"/>
    <w:rsid w:val="00C972C2"/>
    <w:rsid w:val="00CA1483"/>
    <w:rsid w:val="00CA5E3A"/>
    <w:rsid w:val="00CA7135"/>
    <w:rsid w:val="00CB1734"/>
    <w:rsid w:val="00CB60CF"/>
    <w:rsid w:val="00CC0372"/>
    <w:rsid w:val="00CC2464"/>
    <w:rsid w:val="00CC2AB4"/>
    <w:rsid w:val="00CC4369"/>
    <w:rsid w:val="00CC67CB"/>
    <w:rsid w:val="00CD24DC"/>
    <w:rsid w:val="00CE166B"/>
    <w:rsid w:val="00CE1884"/>
    <w:rsid w:val="00CF15B2"/>
    <w:rsid w:val="00CF5D46"/>
    <w:rsid w:val="00D116AA"/>
    <w:rsid w:val="00D11DC2"/>
    <w:rsid w:val="00D15F6B"/>
    <w:rsid w:val="00D2251D"/>
    <w:rsid w:val="00D26E1F"/>
    <w:rsid w:val="00D30639"/>
    <w:rsid w:val="00D318A7"/>
    <w:rsid w:val="00D333D6"/>
    <w:rsid w:val="00D41DDB"/>
    <w:rsid w:val="00D44203"/>
    <w:rsid w:val="00D5651A"/>
    <w:rsid w:val="00D61D4D"/>
    <w:rsid w:val="00D64689"/>
    <w:rsid w:val="00D7309C"/>
    <w:rsid w:val="00D75522"/>
    <w:rsid w:val="00D7559A"/>
    <w:rsid w:val="00D772AA"/>
    <w:rsid w:val="00D82B1A"/>
    <w:rsid w:val="00D84CFD"/>
    <w:rsid w:val="00D95259"/>
    <w:rsid w:val="00D96DE0"/>
    <w:rsid w:val="00DA3770"/>
    <w:rsid w:val="00DA5081"/>
    <w:rsid w:val="00DA6CE5"/>
    <w:rsid w:val="00DB044C"/>
    <w:rsid w:val="00DB0573"/>
    <w:rsid w:val="00DB1030"/>
    <w:rsid w:val="00DB411D"/>
    <w:rsid w:val="00DB745A"/>
    <w:rsid w:val="00DC09DD"/>
    <w:rsid w:val="00DC3DED"/>
    <w:rsid w:val="00DC52F0"/>
    <w:rsid w:val="00DC5326"/>
    <w:rsid w:val="00DD4378"/>
    <w:rsid w:val="00DD6D70"/>
    <w:rsid w:val="00DE116C"/>
    <w:rsid w:val="00DE4B27"/>
    <w:rsid w:val="00DE6374"/>
    <w:rsid w:val="00DE7C1B"/>
    <w:rsid w:val="00DF103C"/>
    <w:rsid w:val="00DF37FA"/>
    <w:rsid w:val="00DF4726"/>
    <w:rsid w:val="00DF4F5B"/>
    <w:rsid w:val="00E000DC"/>
    <w:rsid w:val="00E02A41"/>
    <w:rsid w:val="00E03AE1"/>
    <w:rsid w:val="00E14C03"/>
    <w:rsid w:val="00E16365"/>
    <w:rsid w:val="00E212C5"/>
    <w:rsid w:val="00E21D5A"/>
    <w:rsid w:val="00E23186"/>
    <w:rsid w:val="00E23532"/>
    <w:rsid w:val="00E30EA4"/>
    <w:rsid w:val="00E354C9"/>
    <w:rsid w:val="00E4643F"/>
    <w:rsid w:val="00E50628"/>
    <w:rsid w:val="00E53CEF"/>
    <w:rsid w:val="00E55EDE"/>
    <w:rsid w:val="00E56F15"/>
    <w:rsid w:val="00E641D5"/>
    <w:rsid w:val="00E80978"/>
    <w:rsid w:val="00E82590"/>
    <w:rsid w:val="00E82AF2"/>
    <w:rsid w:val="00E82FAD"/>
    <w:rsid w:val="00E83DE4"/>
    <w:rsid w:val="00E87603"/>
    <w:rsid w:val="00E96169"/>
    <w:rsid w:val="00EB3916"/>
    <w:rsid w:val="00EB4DC4"/>
    <w:rsid w:val="00ED5E9C"/>
    <w:rsid w:val="00ED73AD"/>
    <w:rsid w:val="00EE445B"/>
    <w:rsid w:val="00EE5ACF"/>
    <w:rsid w:val="00EF2109"/>
    <w:rsid w:val="00EF708E"/>
    <w:rsid w:val="00F00148"/>
    <w:rsid w:val="00F0122B"/>
    <w:rsid w:val="00F014CE"/>
    <w:rsid w:val="00F0202A"/>
    <w:rsid w:val="00F05CF6"/>
    <w:rsid w:val="00F106C4"/>
    <w:rsid w:val="00F17B52"/>
    <w:rsid w:val="00F21ECD"/>
    <w:rsid w:val="00F23B62"/>
    <w:rsid w:val="00F37E6F"/>
    <w:rsid w:val="00F37EF2"/>
    <w:rsid w:val="00F43995"/>
    <w:rsid w:val="00F522E2"/>
    <w:rsid w:val="00F54CEA"/>
    <w:rsid w:val="00F62BCF"/>
    <w:rsid w:val="00F62EC4"/>
    <w:rsid w:val="00F72D53"/>
    <w:rsid w:val="00F73787"/>
    <w:rsid w:val="00F74A95"/>
    <w:rsid w:val="00F7668B"/>
    <w:rsid w:val="00F7712F"/>
    <w:rsid w:val="00F87667"/>
    <w:rsid w:val="00F93836"/>
    <w:rsid w:val="00FA1DD0"/>
    <w:rsid w:val="00FA4B28"/>
    <w:rsid w:val="00FA6C81"/>
    <w:rsid w:val="00FB3FDB"/>
    <w:rsid w:val="00FB4CFC"/>
    <w:rsid w:val="00FB5357"/>
    <w:rsid w:val="00FC0FFA"/>
    <w:rsid w:val="00FD2474"/>
    <w:rsid w:val="00FD580A"/>
    <w:rsid w:val="00FD6EEA"/>
    <w:rsid w:val="00FE17E6"/>
    <w:rsid w:val="00FE2E54"/>
    <w:rsid w:val="00FE3F40"/>
    <w:rsid w:val="00FE6DB6"/>
    <w:rsid w:val="00FE7762"/>
    <w:rsid w:val="00FE7816"/>
    <w:rsid w:val="00FF088A"/>
    <w:rsid w:val="00FF0FE2"/>
    <w:rsid w:val="00FF4620"/>
    <w:rsid w:val="00FF4A71"/>
    <w:rsid w:val="00FF68F7"/>
    <w:rsid w:val="00FF6DE3"/>
    <w:rsid w:val="00FF6E29"/>
    <w:rsid w:val="04C27F61"/>
    <w:rsid w:val="06355ECA"/>
    <w:rsid w:val="09A73B1B"/>
    <w:rsid w:val="116510D6"/>
    <w:rsid w:val="154311D2"/>
    <w:rsid w:val="1830556D"/>
    <w:rsid w:val="1A2765AA"/>
    <w:rsid w:val="20146240"/>
    <w:rsid w:val="21AB30B2"/>
    <w:rsid w:val="21B65D40"/>
    <w:rsid w:val="37245B8E"/>
    <w:rsid w:val="37E77B06"/>
    <w:rsid w:val="38ED344D"/>
    <w:rsid w:val="3A611553"/>
    <w:rsid w:val="3BDD5E36"/>
    <w:rsid w:val="3EC50C43"/>
    <w:rsid w:val="45017FC9"/>
    <w:rsid w:val="474E062C"/>
    <w:rsid w:val="516A484F"/>
    <w:rsid w:val="53E75DCA"/>
    <w:rsid w:val="54526353"/>
    <w:rsid w:val="54B115E3"/>
    <w:rsid w:val="57246D34"/>
    <w:rsid w:val="59B6202E"/>
    <w:rsid w:val="612A71D1"/>
    <w:rsid w:val="674A125B"/>
    <w:rsid w:val="6A994F1F"/>
    <w:rsid w:val="71513905"/>
    <w:rsid w:val="72F264B8"/>
    <w:rsid w:val="7A390894"/>
    <w:rsid w:val="7BBC36B1"/>
    <w:rsid w:val="7FAC7C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link w:val="38"/>
    <w:unhideWhenUsed/>
    <w:qFormat/>
    <w:uiPriority w:val="9"/>
    <w:pPr>
      <w:keepNext/>
      <w:keepLines/>
      <w:spacing w:before="260" w:after="260" w:line="416" w:lineRule="auto"/>
      <w:outlineLvl w:val="1"/>
    </w:pPr>
    <w:rPr>
      <w:rFonts w:asciiTheme="majorHAnsi" w:hAnsiTheme="majorHAnsi" w:eastAsiaTheme="majorEastAsia" w:cstheme="majorBidi"/>
      <w:b/>
      <w:bCs/>
    </w:rPr>
  </w:style>
  <w:style w:type="character" w:default="1" w:styleId="13">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7"/>
    <w:semiHidden/>
    <w:unhideWhenUsed/>
    <w:qFormat/>
    <w:uiPriority w:val="99"/>
    <w:rPr>
      <w:b/>
      <w:bCs/>
    </w:rPr>
  </w:style>
  <w:style w:type="paragraph" w:styleId="4">
    <w:name w:val="annotation text"/>
    <w:basedOn w:val="1"/>
    <w:link w:val="36"/>
    <w:semiHidden/>
    <w:unhideWhenUsed/>
    <w:qFormat/>
    <w:uiPriority w:val="99"/>
    <w:pPr>
      <w:jc w:val="left"/>
    </w:pPr>
    <w:rPr>
      <w:rFonts w:ascii="Calibri" w:hAnsi="Calibri" w:eastAsia="宋体"/>
      <w:sz w:val="21"/>
      <w:szCs w:val="21"/>
    </w:rPr>
  </w:style>
  <w:style w:type="paragraph" w:styleId="5">
    <w:name w:val="Body Text"/>
    <w:basedOn w:val="1"/>
    <w:unhideWhenUsed/>
    <w:qFormat/>
    <w:uiPriority w:val="99"/>
    <w:pPr>
      <w:spacing w:after="120"/>
    </w:pPr>
  </w:style>
  <w:style w:type="paragraph" w:styleId="6">
    <w:name w:val="Body Text Indent"/>
    <w:basedOn w:val="1"/>
    <w:semiHidden/>
    <w:unhideWhenUsed/>
    <w:qFormat/>
    <w:uiPriority w:val="99"/>
    <w:pPr>
      <w:ind w:firstLine="630"/>
    </w:pPr>
    <w:rPr>
      <w:b/>
      <w:bCs/>
      <w:szCs w:val="24"/>
    </w:rPr>
  </w:style>
  <w:style w:type="paragraph" w:styleId="7">
    <w:name w:val="Plain Text"/>
    <w:basedOn w:val="1"/>
    <w:link w:val="23"/>
    <w:semiHidden/>
    <w:unhideWhenUsed/>
    <w:qFormat/>
    <w:uiPriority w:val="99"/>
    <w:rPr>
      <w:rFonts w:ascii="宋体" w:hAnsi="Courier New" w:eastAsia="宋体" w:cs="Century"/>
      <w:sz w:val="21"/>
      <w:szCs w:val="21"/>
    </w:rPr>
  </w:style>
  <w:style w:type="paragraph" w:styleId="8">
    <w:name w:val="Date"/>
    <w:basedOn w:val="1"/>
    <w:next w:val="1"/>
    <w:semiHidden/>
    <w:unhideWhenUsed/>
    <w:qFormat/>
    <w:uiPriority w:val="99"/>
    <w:pPr>
      <w:ind w:left="100" w:leftChars="2500"/>
    </w:pPr>
  </w:style>
  <w:style w:type="paragraph" w:styleId="9">
    <w:name w:val="Balloon Text"/>
    <w:basedOn w:val="1"/>
    <w:link w:val="35"/>
    <w:semiHidden/>
    <w:unhideWhenUsed/>
    <w:qFormat/>
    <w:uiPriority w:val="99"/>
    <w:rPr>
      <w:rFonts w:ascii="Calibri" w:hAnsi="Calibri" w:eastAsia="宋体"/>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Strong"/>
    <w:qFormat/>
    <w:uiPriority w:val="22"/>
    <w:rPr>
      <w:b/>
      <w:bCs/>
    </w:rPr>
  </w:style>
  <w:style w:type="character" w:styleId="15">
    <w:name w:val="page number"/>
    <w:basedOn w:val="13"/>
    <w:semiHidden/>
    <w:unhideWhenUsed/>
    <w:qFormat/>
    <w:uiPriority w:val="99"/>
  </w:style>
  <w:style w:type="character" w:styleId="16">
    <w:name w:val="Emphasis"/>
    <w:basedOn w:val="13"/>
    <w:qFormat/>
    <w:uiPriority w:val="20"/>
    <w:rPr>
      <w:i/>
      <w:iCs/>
    </w:rPr>
  </w:style>
  <w:style w:type="character" w:styleId="17">
    <w:name w:val="Hyperlink"/>
    <w:semiHidden/>
    <w:unhideWhenUsed/>
    <w:qFormat/>
    <w:uiPriority w:val="99"/>
    <w:rPr>
      <w:color w:val="003366"/>
      <w:u w:val="none"/>
    </w:rPr>
  </w:style>
  <w:style w:type="character" w:styleId="18">
    <w:name w:val="annotation reference"/>
    <w:basedOn w:val="13"/>
    <w:semiHidden/>
    <w:unhideWhenUsed/>
    <w:qFormat/>
    <w:uiPriority w:val="99"/>
    <w:rPr>
      <w:rFonts w:asciiTheme="minorHAnsi" w:hAnsiTheme="minorHAnsi" w:eastAsiaTheme="minorEastAsia" w:cstheme="minorBidi"/>
      <w:sz w:val="21"/>
      <w:szCs w:val="21"/>
      <w:lang w:val="en-US" w:eastAsia="zh-CN" w:bidi="ar-SA"/>
    </w:rPr>
  </w:style>
  <w:style w:type="table" w:styleId="20">
    <w:name w:val="Table Grid"/>
    <w:basedOn w:val="1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1">
    <w:name w:val="Char"/>
    <w:basedOn w:val="1"/>
    <w:qFormat/>
    <w:uiPriority w:val="0"/>
    <w:pPr>
      <w:widowControl/>
      <w:jc w:val="left"/>
    </w:pPr>
    <w:rPr>
      <w:rFonts w:ascii="仿宋_GB2312" w:hAnsi="Arial"/>
      <w:b/>
      <w:spacing w:val="-5"/>
      <w:kern w:val="0"/>
    </w:rPr>
  </w:style>
  <w:style w:type="paragraph" w:customStyle="1" w:styleId="22">
    <w:name w:val="默认段落字体 Para Char Char Char Char Char Char Char Char Char Char Char Char Char"/>
    <w:basedOn w:val="1"/>
    <w:qFormat/>
    <w:uiPriority w:val="0"/>
    <w:rPr>
      <w:rFonts w:eastAsia="宋体"/>
      <w:sz w:val="21"/>
      <w:szCs w:val="24"/>
    </w:rPr>
  </w:style>
  <w:style w:type="character" w:customStyle="1" w:styleId="23">
    <w:name w:val="纯文本 字符"/>
    <w:link w:val="7"/>
    <w:qFormat/>
    <w:uiPriority w:val="0"/>
    <w:rPr>
      <w:rFonts w:ascii="宋体" w:hAnsi="Courier New" w:eastAsia="宋体" w:cs="Century"/>
      <w:kern w:val="2"/>
      <w:sz w:val="21"/>
      <w:szCs w:val="21"/>
      <w:lang w:val="en-US" w:eastAsia="zh-CN" w:bidi="ar-SA"/>
    </w:rPr>
  </w:style>
  <w:style w:type="paragraph" w:styleId="24">
    <w:name w:val="List Paragraph"/>
    <w:basedOn w:val="1"/>
    <w:qFormat/>
    <w:uiPriority w:val="0"/>
    <w:pPr>
      <w:ind w:firstLine="420" w:firstLineChars="200"/>
    </w:pPr>
    <w:rPr>
      <w:rFonts w:ascii="Calibri" w:hAnsi="Calibri" w:eastAsia="宋体"/>
      <w:sz w:val="21"/>
      <w:szCs w:val="22"/>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Char Char Char Char Char Char Char Char Char1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27">
    <w:name w:val="Char1"/>
    <w:basedOn w:val="1"/>
    <w:semiHidden/>
    <w:qFormat/>
    <w:uiPriority w:val="0"/>
    <w:pPr>
      <w:widowControl/>
      <w:spacing w:after="160" w:line="240" w:lineRule="exact"/>
      <w:jc w:val="left"/>
    </w:pPr>
    <w:rPr>
      <w:rFonts w:ascii="Arial" w:hAnsi="Arial" w:eastAsia="宋体"/>
      <w:kern w:val="0"/>
      <w:sz w:val="22"/>
      <w:szCs w:val="22"/>
      <w:lang w:eastAsia="en-US"/>
    </w:rPr>
  </w:style>
  <w:style w:type="character" w:customStyle="1" w:styleId="28">
    <w:name w:val="页眉 字符"/>
    <w:basedOn w:val="13"/>
    <w:link w:val="11"/>
    <w:qFormat/>
    <w:uiPriority w:val="99"/>
    <w:rPr>
      <w:rFonts w:asciiTheme="minorHAnsi" w:hAnsiTheme="minorHAnsi" w:eastAsiaTheme="minorEastAsia" w:cstheme="minorBidi"/>
      <w:sz w:val="18"/>
      <w:szCs w:val="18"/>
      <w:lang w:val="en-US" w:eastAsia="zh-CN" w:bidi="ar-SA"/>
    </w:rPr>
  </w:style>
  <w:style w:type="character" w:customStyle="1" w:styleId="29">
    <w:name w:val="页脚 字符"/>
    <w:basedOn w:val="13"/>
    <w:link w:val="10"/>
    <w:qFormat/>
    <w:uiPriority w:val="99"/>
    <w:rPr>
      <w:rFonts w:asciiTheme="minorHAnsi" w:hAnsiTheme="minorHAnsi" w:eastAsiaTheme="minorEastAsia" w:cstheme="minorBidi"/>
      <w:sz w:val="18"/>
      <w:szCs w:val="18"/>
      <w:lang w:val="en-US" w:eastAsia="zh-CN" w:bidi="ar-SA"/>
    </w:rPr>
  </w:style>
  <w:style w:type="paragraph" w:customStyle="1" w:styleId="30">
    <w:name w:val="样式 样式 宋体 四号 左 行距: 固定值 25 磅 + 首行缩进:  2 字符"/>
    <w:basedOn w:val="1"/>
    <w:qFormat/>
    <w:uiPriority w:val="0"/>
    <w:pPr>
      <w:adjustRightInd w:val="0"/>
      <w:snapToGrid w:val="0"/>
      <w:spacing w:beforeLines="50" w:after="100" w:afterAutospacing="1" w:line="500" w:lineRule="exact"/>
      <w:ind w:firstLine="200" w:firstLineChars="200"/>
      <w:jc w:val="left"/>
    </w:pPr>
    <w:rPr>
      <w:rFonts w:ascii="宋体" w:hAnsi="宋体" w:eastAsia="宋体" w:cs="宋体"/>
      <w:kern w:val="0"/>
      <w:sz w:val="28"/>
      <w:szCs w:val="28"/>
    </w:rPr>
  </w:style>
  <w:style w:type="character" w:customStyle="1" w:styleId="31">
    <w:name w:val="font21"/>
    <w:basedOn w:val="13"/>
    <w:qFormat/>
    <w:uiPriority w:val="0"/>
    <w:rPr>
      <w:rFonts w:hint="default" w:ascii="Times New Roman" w:hAnsi="Times New Roman" w:cs="Times New Roman" w:eastAsiaTheme="minorEastAsia"/>
      <w:b/>
      <w:color w:val="000000"/>
      <w:sz w:val="21"/>
      <w:szCs w:val="21"/>
      <w:u w:val="none"/>
      <w:lang w:val="en-US" w:eastAsia="zh-CN" w:bidi="ar-SA"/>
    </w:rPr>
  </w:style>
  <w:style w:type="character" w:customStyle="1" w:styleId="32">
    <w:name w:val="font71"/>
    <w:basedOn w:val="13"/>
    <w:qFormat/>
    <w:uiPriority w:val="0"/>
    <w:rPr>
      <w:rFonts w:hint="default" w:ascii="Times New Roman" w:hAnsi="Times New Roman" w:cs="Times New Roman" w:eastAsiaTheme="minorEastAsia"/>
      <w:color w:val="000000"/>
      <w:sz w:val="21"/>
      <w:szCs w:val="21"/>
      <w:u w:val="none"/>
      <w:lang w:val="en-US" w:eastAsia="zh-CN" w:bidi="ar-SA"/>
    </w:rPr>
  </w:style>
  <w:style w:type="character" w:customStyle="1" w:styleId="33">
    <w:name w:val="font61"/>
    <w:basedOn w:val="13"/>
    <w:qFormat/>
    <w:uiPriority w:val="0"/>
    <w:rPr>
      <w:rFonts w:hint="eastAsia" w:ascii="宋体" w:hAnsi="宋体" w:eastAsia="宋体" w:cs="宋体"/>
      <w:color w:val="000000"/>
      <w:sz w:val="21"/>
      <w:szCs w:val="21"/>
      <w:u w:val="none"/>
      <w:lang w:val="en-US" w:eastAsia="zh-CN" w:bidi="ar-SA"/>
    </w:rPr>
  </w:style>
  <w:style w:type="paragraph" w:customStyle="1" w:styleId="34">
    <w:name w:val="正文通用"/>
    <w:basedOn w:val="1"/>
    <w:qFormat/>
    <w:uiPriority w:val="0"/>
    <w:pPr>
      <w:ind w:firstLine="560"/>
    </w:pPr>
    <w:rPr>
      <w:rFonts w:ascii="Calibri" w:hAnsi="Calibri" w:eastAsia="宋体" w:cs="宋体"/>
      <w:kern w:val="0"/>
      <w:sz w:val="28"/>
      <w:szCs w:val="20"/>
    </w:rPr>
  </w:style>
  <w:style w:type="character" w:customStyle="1" w:styleId="35">
    <w:name w:val="批注框文本 字符"/>
    <w:basedOn w:val="13"/>
    <w:link w:val="9"/>
    <w:semiHidden/>
    <w:qFormat/>
    <w:uiPriority w:val="99"/>
    <w:rPr>
      <w:rFonts w:asciiTheme="minorHAnsi" w:hAnsiTheme="minorHAnsi" w:eastAsiaTheme="minorEastAsia" w:cstheme="minorBidi"/>
      <w:sz w:val="18"/>
      <w:szCs w:val="18"/>
      <w:lang w:val="en-US" w:eastAsia="zh-CN" w:bidi="ar-SA"/>
    </w:rPr>
  </w:style>
  <w:style w:type="character" w:customStyle="1" w:styleId="36">
    <w:name w:val="批注文字 字符"/>
    <w:basedOn w:val="13"/>
    <w:link w:val="4"/>
    <w:semiHidden/>
    <w:qFormat/>
    <w:uiPriority w:val="99"/>
    <w:rPr>
      <w:rFonts w:asciiTheme="minorHAnsi" w:hAnsiTheme="minorHAnsi" w:eastAsiaTheme="minorEastAsia" w:cstheme="minorBidi"/>
      <w:lang w:val="en-US" w:eastAsia="zh-CN" w:bidi="ar-SA"/>
    </w:rPr>
  </w:style>
  <w:style w:type="character" w:customStyle="1" w:styleId="37">
    <w:name w:val="批注主题 字符"/>
    <w:basedOn w:val="36"/>
    <w:link w:val="3"/>
    <w:semiHidden/>
    <w:qFormat/>
    <w:uiPriority w:val="99"/>
    <w:rPr>
      <w:rFonts w:asciiTheme="minorHAnsi" w:hAnsiTheme="minorHAnsi" w:eastAsiaTheme="minorEastAsia" w:cstheme="minorBidi"/>
      <w:b/>
      <w:bCs/>
      <w:lang w:val="en-US" w:eastAsia="zh-CN" w:bidi="ar-SA"/>
    </w:rPr>
  </w:style>
  <w:style w:type="character" w:customStyle="1" w:styleId="38">
    <w:name w:val="标题 2 字符"/>
    <w:basedOn w:val="13"/>
    <w:link w:val="2"/>
    <w:qFormat/>
    <w:uiPriority w:val="9"/>
    <w:rPr>
      <w:rFonts w:asciiTheme="majorHAnsi" w:hAnsiTheme="majorHAnsi" w:eastAsiaTheme="majorEastAsia" w:cstheme="majorBidi"/>
      <w:b/>
      <w:bCs/>
      <w:sz w:val="32"/>
      <w:szCs w:val="32"/>
      <w:lang w:val="en-US" w:eastAsia="zh-CN" w:bidi="ar-SA"/>
    </w:rPr>
  </w:style>
  <w:style w:type="paragraph" w:customStyle="1" w:styleId="39">
    <w:name w:val="2级表头"/>
    <w:basedOn w:val="1"/>
    <w:link w:val="40"/>
    <w:qFormat/>
    <w:uiPriority w:val="0"/>
    <w:pPr>
      <w:spacing w:beforeLines="50"/>
      <w:jc w:val="center"/>
      <w:outlineLvl w:val="1"/>
    </w:pPr>
    <w:rPr>
      <w:b/>
      <w:sz w:val="21"/>
      <w:szCs w:val="24"/>
    </w:rPr>
  </w:style>
  <w:style w:type="character" w:customStyle="1" w:styleId="40">
    <w:name w:val="2级表头 字符"/>
    <w:basedOn w:val="13"/>
    <w:link w:val="39"/>
    <w:qFormat/>
    <w:uiPriority w:val="0"/>
    <w:rPr>
      <w:rFonts w:ascii="Times New Roman" w:hAnsi="Times New Roman" w:eastAsia="仿宋_GB2312" w:cstheme="minorBidi"/>
      <w:b/>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0793CC-DC0F-49BF-9715-E49256786BE1}">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3224</Words>
  <Characters>3470</Characters>
  <Lines>25</Lines>
  <Paragraphs>7</Paragraphs>
  <TotalTime>3879</TotalTime>
  <ScaleCrop>false</ScaleCrop>
  <LinksUpToDate>false</LinksUpToDate>
  <CharactersWithSpaces>3472</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2019-10-23T07:37:00Z</dcterms:created>
  <dc:creator>M708G9RX</dc:creator>
  <cp:lastModifiedBy>刘艳红</cp:lastModifiedBy>
  <cp:lastPrinted>2022-06-06T02:46:34Z</cp:lastPrinted>
  <dcterms:modified xsi:type="dcterms:W3CDTF">2022-06-06T02:46:38Z</dcterms:modified>
  <dc:title>云南省交通运输厅工程质量监督局文件</dc:title>
  <cp:revision>423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